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32A07D" w14:textId="77777777" w:rsidR="00A57797" w:rsidRPr="00A57797" w:rsidRDefault="00A57797" w:rsidP="00A57797">
      <w:pPr>
        <w:tabs>
          <w:tab w:val="center" w:pos="2552"/>
          <w:tab w:val="right" w:pos="10348"/>
        </w:tabs>
        <w:spacing w:after="0" w:line="240" w:lineRule="auto"/>
        <w:ind w:left="2268" w:right="92" w:firstLine="142"/>
        <w:jc w:val="right"/>
        <w:rPr>
          <w:rFonts w:ascii="Calibri" w:eastAsia="Times New Roman" w:hAnsi="Calibri" w:cs="Calibri"/>
          <w:b/>
          <w:bCs/>
          <w:i/>
          <w:sz w:val="10"/>
          <w:szCs w:val="10"/>
          <w:lang w:val="en-US" w:eastAsia="ru-RU"/>
        </w:rPr>
      </w:pPr>
      <w:bookmarkStart w:id="0" w:name="_Toc291847283"/>
    </w:p>
    <w:p w14:paraId="67439D45" w14:textId="77777777" w:rsidR="00A57797" w:rsidRPr="00A57797" w:rsidRDefault="00A57797" w:rsidP="00A57797">
      <w:pPr>
        <w:tabs>
          <w:tab w:val="center" w:pos="2552"/>
          <w:tab w:val="right" w:pos="10348"/>
        </w:tabs>
        <w:spacing w:after="0" w:line="240" w:lineRule="auto"/>
        <w:ind w:left="2268" w:right="92" w:firstLine="142"/>
        <w:jc w:val="right"/>
        <w:rPr>
          <w:rFonts w:ascii="Calibri" w:eastAsia="Times New Roman" w:hAnsi="Calibri" w:cs="Calibri"/>
          <w:b/>
          <w:bCs/>
          <w:i/>
          <w:sz w:val="10"/>
          <w:szCs w:val="10"/>
          <w:lang w:val="x-none" w:eastAsia="ru-RU"/>
        </w:rPr>
      </w:pPr>
    </w:p>
    <w:p w14:paraId="27F5534F" w14:textId="77777777" w:rsidR="00A57797" w:rsidRPr="00A57797" w:rsidRDefault="00A57797" w:rsidP="00A57797">
      <w:pPr>
        <w:tabs>
          <w:tab w:val="center" w:pos="2552"/>
          <w:tab w:val="right" w:pos="10348"/>
        </w:tabs>
        <w:spacing w:after="0" w:line="240" w:lineRule="auto"/>
        <w:ind w:left="2268" w:right="92" w:firstLine="142"/>
        <w:jc w:val="right"/>
        <w:rPr>
          <w:rFonts w:ascii="Calibri" w:eastAsia="Times New Roman" w:hAnsi="Calibri" w:cs="Calibri"/>
          <w:b/>
          <w:bCs/>
          <w:i/>
          <w:sz w:val="10"/>
          <w:szCs w:val="10"/>
          <w:lang w:val="x-none" w:eastAsia="ru-RU"/>
        </w:rPr>
      </w:pPr>
      <w:r w:rsidRPr="00A57797">
        <w:rPr>
          <w:rFonts w:ascii="Calibri" w:eastAsia="Times New Roman" w:hAnsi="Calibri" w:cs="Calibri"/>
          <w:b/>
          <w:bCs/>
          <w:i/>
          <w:sz w:val="10"/>
          <w:szCs w:val="10"/>
          <w:lang w:val="x-none" w:eastAsia="ru-RU"/>
        </w:rPr>
        <w:t>Приложение №1</w:t>
      </w:r>
      <w:bookmarkEnd w:id="0"/>
      <w:r w:rsidRPr="00A57797">
        <w:rPr>
          <w:rFonts w:ascii="Calibri" w:eastAsia="Times New Roman" w:hAnsi="Calibri" w:cs="Calibri"/>
          <w:i/>
          <w:sz w:val="10"/>
          <w:szCs w:val="10"/>
          <w:lang w:eastAsia="ru-RU"/>
        </w:rPr>
        <w:t xml:space="preserve"> </w:t>
      </w:r>
      <w:r w:rsidRPr="00A57797">
        <w:rPr>
          <w:rFonts w:ascii="Calibri" w:eastAsia="Times New Roman" w:hAnsi="Calibri" w:cs="Calibri"/>
          <w:b/>
          <w:i/>
          <w:sz w:val="10"/>
          <w:szCs w:val="10"/>
          <w:lang w:eastAsia="ru-RU"/>
        </w:rPr>
        <w:t>к Регламенту оказания ООО «</w:t>
      </w:r>
      <w:proofErr w:type="spellStart"/>
      <w:r w:rsidRPr="00A57797">
        <w:rPr>
          <w:rFonts w:ascii="Calibri" w:eastAsia="Times New Roman" w:hAnsi="Calibri" w:cs="Calibri"/>
          <w:b/>
          <w:i/>
          <w:sz w:val="10"/>
          <w:szCs w:val="10"/>
          <w:lang w:eastAsia="ru-RU"/>
        </w:rPr>
        <w:t>Кадерус</w:t>
      </w:r>
      <w:proofErr w:type="spellEnd"/>
      <w:r w:rsidRPr="00A57797">
        <w:rPr>
          <w:rFonts w:ascii="Calibri" w:eastAsia="Times New Roman" w:hAnsi="Calibri" w:cs="Calibri"/>
          <w:b/>
          <w:i/>
          <w:sz w:val="10"/>
          <w:szCs w:val="10"/>
          <w:lang w:eastAsia="ru-RU"/>
        </w:rPr>
        <w:t xml:space="preserve"> Брокер» брокерских услуг на рынках ценных бумаг</w:t>
      </w:r>
    </w:p>
    <w:p w14:paraId="0989BF1E" w14:textId="77777777" w:rsidR="00A57797" w:rsidRPr="00A57797" w:rsidRDefault="00A57797" w:rsidP="00A57797">
      <w:pPr>
        <w:tabs>
          <w:tab w:val="center" w:pos="2552"/>
          <w:tab w:val="right" w:pos="9355"/>
        </w:tabs>
        <w:spacing w:after="0" w:line="240" w:lineRule="auto"/>
        <w:ind w:left="2268" w:right="147" w:firstLine="284"/>
        <w:jc w:val="right"/>
        <w:rPr>
          <w:rFonts w:ascii="Calibri" w:eastAsia="Times New Roman" w:hAnsi="Calibri" w:cs="Calibri"/>
          <w:b/>
          <w:bCs/>
          <w:i/>
          <w:sz w:val="10"/>
          <w:szCs w:val="10"/>
          <w:lang w:val="x-none" w:eastAsia="ru-RU"/>
        </w:rPr>
      </w:pPr>
      <w:r w:rsidRPr="00A57797">
        <w:rPr>
          <w:rFonts w:ascii="Calibri" w:eastAsia="Times New Roman" w:hAnsi="Calibri" w:cs="Calibri"/>
          <w:b/>
          <w:bCs/>
          <w:i/>
          <w:sz w:val="10"/>
          <w:szCs w:val="10"/>
          <w:lang w:val="x-none" w:eastAsia="ru-RU"/>
        </w:rPr>
        <w:t>Приложение №1 к Условиям осуществления депозитарной деятельности ООО «</w:t>
      </w:r>
      <w:proofErr w:type="spellStart"/>
      <w:r w:rsidRPr="00A57797">
        <w:rPr>
          <w:rFonts w:ascii="Calibri" w:eastAsia="Times New Roman" w:hAnsi="Calibri" w:cs="Calibri"/>
          <w:b/>
          <w:bCs/>
          <w:i/>
          <w:sz w:val="10"/>
          <w:szCs w:val="10"/>
          <w:lang w:val="x-none" w:eastAsia="ru-RU"/>
        </w:rPr>
        <w:t>Кадерус</w:t>
      </w:r>
      <w:proofErr w:type="spellEnd"/>
      <w:r w:rsidRPr="00A57797">
        <w:rPr>
          <w:rFonts w:ascii="Calibri" w:eastAsia="Times New Roman" w:hAnsi="Calibri" w:cs="Calibri"/>
          <w:b/>
          <w:bCs/>
          <w:i/>
          <w:sz w:val="10"/>
          <w:szCs w:val="10"/>
          <w:lang w:val="x-none" w:eastAsia="ru-RU"/>
        </w:rPr>
        <w:t xml:space="preserve"> Брокер»</w:t>
      </w:r>
    </w:p>
    <w:p w14:paraId="047584F8" w14:textId="77777777" w:rsidR="00A57797" w:rsidRPr="00A57797" w:rsidRDefault="00A57797" w:rsidP="00A57797">
      <w:pPr>
        <w:tabs>
          <w:tab w:val="center" w:pos="2552"/>
          <w:tab w:val="right" w:pos="9355"/>
        </w:tabs>
        <w:spacing w:after="0" w:line="240" w:lineRule="auto"/>
        <w:ind w:left="2268" w:right="147" w:firstLine="284"/>
        <w:jc w:val="right"/>
        <w:rPr>
          <w:rFonts w:ascii="Calibri" w:eastAsia="Times New Roman" w:hAnsi="Calibri" w:cs="Calibri"/>
          <w:b/>
          <w:bCs/>
          <w:i/>
          <w:sz w:val="10"/>
          <w:szCs w:val="10"/>
          <w:lang w:eastAsia="ru-RU"/>
        </w:rPr>
      </w:pPr>
      <w:r w:rsidRPr="00A57797">
        <w:rPr>
          <w:rFonts w:ascii="Calibri" w:eastAsia="Times New Roman" w:hAnsi="Calibri" w:cs="Calibri"/>
          <w:b/>
          <w:bCs/>
          <w:i/>
          <w:sz w:val="10"/>
          <w:szCs w:val="10"/>
          <w:lang w:val="x-none" w:eastAsia="ru-RU"/>
        </w:rPr>
        <w:t>Приложение №1 к Правилам электронного документооборота ООО «</w:t>
      </w:r>
      <w:proofErr w:type="spellStart"/>
      <w:r w:rsidRPr="00A57797">
        <w:rPr>
          <w:rFonts w:ascii="Calibri" w:eastAsia="Times New Roman" w:hAnsi="Calibri" w:cs="Calibri"/>
          <w:b/>
          <w:bCs/>
          <w:i/>
          <w:sz w:val="10"/>
          <w:szCs w:val="10"/>
          <w:lang w:val="x-none" w:eastAsia="ru-RU"/>
        </w:rPr>
        <w:t>Кадерус</w:t>
      </w:r>
      <w:proofErr w:type="spellEnd"/>
      <w:r w:rsidRPr="00A57797">
        <w:rPr>
          <w:rFonts w:ascii="Calibri" w:eastAsia="Times New Roman" w:hAnsi="Calibri" w:cs="Calibri"/>
          <w:b/>
          <w:bCs/>
          <w:i/>
          <w:sz w:val="10"/>
          <w:szCs w:val="10"/>
          <w:lang w:val="x-none" w:eastAsia="ru-RU"/>
        </w:rPr>
        <w:t xml:space="preserve"> Брокер»</w:t>
      </w:r>
    </w:p>
    <w:p w14:paraId="2B7AD1DF" w14:textId="77777777" w:rsidR="00A57797" w:rsidRPr="00A57797" w:rsidRDefault="00A57797" w:rsidP="00A57797">
      <w:pPr>
        <w:tabs>
          <w:tab w:val="center" w:pos="2552"/>
          <w:tab w:val="center" w:pos="4820"/>
          <w:tab w:val="right" w:pos="9355"/>
        </w:tabs>
        <w:spacing w:after="0" w:line="240" w:lineRule="auto"/>
        <w:ind w:left="2268" w:right="147" w:firstLine="284"/>
        <w:jc w:val="right"/>
        <w:rPr>
          <w:rFonts w:ascii="Calibri" w:eastAsia="Times New Roman" w:hAnsi="Calibri" w:cs="Calibri"/>
          <w:b/>
          <w:bCs/>
          <w:i/>
          <w:sz w:val="12"/>
          <w:szCs w:val="14"/>
          <w:lang w:eastAsia="ru-RU"/>
        </w:rPr>
      </w:pPr>
      <w:r w:rsidRPr="00A57797">
        <w:rPr>
          <w:rFonts w:ascii="Calibri" w:eastAsia="Times New Roman" w:hAnsi="Calibri" w:cs="Calibri"/>
          <w:b/>
          <w:bCs/>
          <w:i/>
          <w:sz w:val="10"/>
          <w:szCs w:val="10"/>
          <w:lang w:eastAsia="ru-RU"/>
        </w:rPr>
        <w:t>Приложение № 1 к Договору об осуществлении учета иностранных финансовых инструментов, не квалифицированных в качестве ценных бумаг</w:t>
      </w:r>
    </w:p>
    <w:p w14:paraId="21D21F32" w14:textId="77777777" w:rsidR="00A57797" w:rsidRPr="00A57797" w:rsidRDefault="00A57797" w:rsidP="00A577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sz w:val="8"/>
          <w:szCs w:val="8"/>
        </w:rPr>
      </w:pPr>
    </w:p>
    <w:p w14:paraId="15038A12" w14:textId="77777777" w:rsidR="00A57797" w:rsidRPr="00A57797" w:rsidRDefault="00A57797" w:rsidP="00A577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sz w:val="8"/>
          <w:szCs w:val="8"/>
        </w:rPr>
      </w:pPr>
    </w:p>
    <w:p w14:paraId="43D4A443" w14:textId="77777777" w:rsidR="00A57797" w:rsidRPr="00A57797" w:rsidRDefault="00A57797" w:rsidP="00A577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sz w:val="16"/>
          <w:szCs w:val="16"/>
        </w:rPr>
      </w:pPr>
      <w:r w:rsidRPr="00A57797">
        <w:rPr>
          <w:rFonts w:ascii="Calibri" w:eastAsia="Times New Roman" w:hAnsi="Calibri" w:cs="Calibri"/>
          <w:b/>
          <w:sz w:val="16"/>
          <w:szCs w:val="16"/>
        </w:rPr>
        <w:t>ЗАЯВЛЕНИЕ О ЗАКЛЮЧЕНИИ ДОГОВОРОВ</w:t>
      </w:r>
    </w:p>
    <w:p w14:paraId="4FAE825E" w14:textId="77777777" w:rsidR="00A57797" w:rsidRPr="00A57797" w:rsidRDefault="00A57797" w:rsidP="00A5779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78" w:right="-78"/>
        <w:jc w:val="center"/>
        <w:textAlignment w:val="baseline"/>
        <w:rPr>
          <w:rFonts w:ascii="Calibri" w:eastAsia="Times New Roman" w:hAnsi="Calibri" w:cs="Calibri"/>
          <w:b/>
          <w:sz w:val="16"/>
          <w:szCs w:val="16"/>
        </w:rPr>
      </w:pPr>
      <w:r w:rsidRPr="00A57797">
        <w:rPr>
          <w:rFonts w:ascii="Calibri" w:eastAsia="Times New Roman" w:hAnsi="Calibri" w:cs="Calibri"/>
          <w:b/>
          <w:sz w:val="16"/>
          <w:szCs w:val="16"/>
        </w:rPr>
        <w:t>путем присоединения к условиям оказания ООО «</w:t>
      </w:r>
      <w:proofErr w:type="spellStart"/>
      <w:r w:rsidRPr="00A57797">
        <w:rPr>
          <w:rFonts w:ascii="Calibri" w:eastAsia="Times New Roman" w:hAnsi="Calibri" w:cs="Calibri"/>
          <w:b/>
          <w:sz w:val="16"/>
          <w:szCs w:val="16"/>
        </w:rPr>
        <w:t>Кадерус</w:t>
      </w:r>
      <w:proofErr w:type="spellEnd"/>
      <w:r w:rsidRPr="00A57797">
        <w:rPr>
          <w:rFonts w:ascii="Calibri" w:eastAsia="Times New Roman" w:hAnsi="Calibri" w:cs="Calibri"/>
          <w:b/>
          <w:sz w:val="16"/>
          <w:szCs w:val="16"/>
        </w:rPr>
        <w:t xml:space="preserve"> Брокер» услуг на рынках ценных бумаг, услуг по совершению сделок с иностранной валютой на организованных торгах ПАО Московская Биржа, услуг по осуществлению учета иностранных финансовых инструментов, не квалифицированных в качестве ценных бумаг </w:t>
      </w:r>
    </w:p>
    <w:p w14:paraId="74CC3CCB" w14:textId="77777777" w:rsidR="00A57797" w:rsidRPr="00A57797" w:rsidRDefault="00A57797" w:rsidP="00A57797">
      <w:pPr>
        <w:spacing w:after="0" w:line="240" w:lineRule="auto"/>
        <w:rPr>
          <w:rFonts w:ascii="Calibri" w:eastAsia="Times New Roman" w:hAnsi="Calibri" w:cs="Calibri"/>
          <w:sz w:val="6"/>
          <w:szCs w:val="6"/>
          <w:lang w:eastAsia="ru-RU"/>
        </w:rPr>
      </w:pPr>
    </w:p>
    <w:tbl>
      <w:tblPr>
        <w:tblW w:w="1119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199"/>
      </w:tblGrid>
      <w:tr w:rsidR="00A57797" w:rsidRPr="00A57797" w14:paraId="164AF018" w14:textId="77777777" w:rsidTr="001B242C">
        <w:trPr>
          <w:trHeight w:val="1415"/>
        </w:trPr>
        <w:tc>
          <w:tcPr>
            <w:tcW w:w="11199" w:type="dxa"/>
          </w:tcPr>
          <w:p w14:paraId="5A45201F" w14:textId="77777777" w:rsidR="00A57797" w:rsidRPr="00A57797" w:rsidRDefault="00A57797" w:rsidP="00A57797">
            <w:pPr>
              <w:spacing w:before="60" w:after="0" w:line="240" w:lineRule="auto"/>
              <w:jc w:val="both"/>
              <w:rPr>
                <w:rFonts w:ascii="Calibri" w:eastAsia="Times New Roman" w:hAnsi="Calibri" w:cs="Calibri"/>
                <w:sz w:val="14"/>
                <w:szCs w:val="14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sz w:val="14"/>
                <w:szCs w:val="14"/>
                <w:lang w:eastAsia="ru-RU"/>
              </w:rPr>
              <w:t>Клиент заявляет о намерении заключить следующий договор (договоры) путем присоединения к установленным ООО «</w:t>
            </w:r>
            <w:proofErr w:type="spellStart"/>
            <w:r w:rsidRPr="00A57797">
              <w:rPr>
                <w:rFonts w:ascii="Calibri" w:eastAsia="Times New Roman" w:hAnsi="Calibri" w:cs="Calibri"/>
                <w:sz w:val="14"/>
                <w:szCs w:val="14"/>
                <w:lang w:eastAsia="ru-RU"/>
              </w:rPr>
              <w:t>Кадерус</w:t>
            </w:r>
            <w:proofErr w:type="spellEnd"/>
            <w:r w:rsidRPr="00A57797">
              <w:rPr>
                <w:rFonts w:ascii="Calibri" w:eastAsia="Times New Roman" w:hAnsi="Calibri" w:cs="Calibri"/>
                <w:sz w:val="14"/>
                <w:szCs w:val="14"/>
                <w:lang w:eastAsia="ru-RU"/>
              </w:rPr>
              <w:t xml:space="preserve"> Брокер» стандартным условиям: </w:t>
            </w:r>
          </w:p>
          <w:p w14:paraId="28EE2027" w14:textId="1BF3E101" w:rsidR="00A57797" w:rsidRPr="00A57797" w:rsidRDefault="00A57797" w:rsidP="00A57797">
            <w:pPr>
              <w:tabs>
                <w:tab w:val="left" w:pos="438"/>
              </w:tabs>
              <w:spacing w:after="0" w:line="240" w:lineRule="auto"/>
              <w:ind w:left="283"/>
              <w:jc w:val="both"/>
              <w:rPr>
                <w:rFonts w:ascii="Calibri" w:eastAsia="Times New Roman" w:hAnsi="Calibri" w:cs="Calibri"/>
                <w:sz w:val="14"/>
                <w:szCs w:val="14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noProof/>
                <w:sz w:val="16"/>
                <w:szCs w:val="1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5F1BAD7" wp14:editId="1B68BBA8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9525</wp:posOffset>
                      </wp:positionV>
                      <wp:extent cx="107950" cy="107950"/>
                      <wp:effectExtent l="3810" t="3175" r="2540" b="3175"/>
                      <wp:wrapNone/>
                      <wp:docPr id="13" name="Прямоугольник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24A31A" id="Прямоугольник 13" o:spid="_x0000_s1026" style="position:absolute;margin-left:-1.5pt;margin-top:.75pt;width:8.5pt;height: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"/>
                  </w:pict>
                </mc:Fallback>
              </mc:AlternateContent>
            </w:r>
            <w:r w:rsidRPr="00A57797">
              <w:rPr>
                <w:rFonts w:ascii="Calibri" w:eastAsia="Times New Roman" w:hAnsi="Calibri" w:cs="Calibri"/>
                <w:b/>
                <w:sz w:val="16"/>
                <w:szCs w:val="16"/>
                <w:lang w:eastAsia="ru-RU"/>
              </w:rPr>
              <w:t xml:space="preserve">Договор о брокерском обслуживании на рынке ценных бумаг </w:t>
            </w:r>
            <w:r w:rsidRPr="00A57797">
              <w:rPr>
                <w:rFonts w:ascii="Calibri" w:eastAsia="Times New Roman" w:hAnsi="Calibri" w:cs="Calibri"/>
                <w:sz w:val="14"/>
                <w:szCs w:val="14"/>
                <w:lang w:eastAsia="ru-RU"/>
              </w:rPr>
              <w:t>(услуги по совершению необеспеченных сделок и срочных сделок, если совершение таких сделок клиентом не запрещено правовыми актами Российской Федерации, сделок с иностранной валютой на организованных торгах ПАО Московская Биржа)</w:t>
            </w:r>
          </w:p>
          <w:p w14:paraId="5254384E" w14:textId="00A0B26D" w:rsidR="00A57797" w:rsidRPr="00A57797" w:rsidRDefault="00A57797" w:rsidP="00A57797">
            <w:pPr>
              <w:tabs>
                <w:tab w:val="left" w:pos="438"/>
              </w:tabs>
              <w:spacing w:after="20" w:line="240" w:lineRule="auto"/>
              <w:ind w:left="284"/>
              <w:rPr>
                <w:rFonts w:ascii="Calibri" w:eastAsia="Times New Roman" w:hAnsi="Calibri" w:cs="Calibri"/>
                <w:b/>
                <w:sz w:val="16"/>
                <w:szCs w:val="16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noProof/>
                <w:sz w:val="14"/>
                <w:szCs w:val="1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59986F2" wp14:editId="4B8D23BC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5080</wp:posOffset>
                      </wp:positionV>
                      <wp:extent cx="107950" cy="107950"/>
                      <wp:effectExtent l="3810" t="2540" r="2540" b="3810"/>
                      <wp:wrapNone/>
                      <wp:docPr id="12" name="Прямоугольник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E16E3E" id="Прямоугольник 12" o:spid="_x0000_s1026" style="position:absolute;margin-left:-1.5pt;margin-top:.4pt;width:8.5pt;height: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"/>
                  </w:pict>
                </mc:Fallback>
              </mc:AlternateContent>
            </w:r>
            <w:r w:rsidRPr="00A57797">
              <w:rPr>
                <w:rFonts w:ascii="Calibri" w:eastAsia="Times New Roman" w:hAnsi="Calibri" w:cs="Calibri"/>
                <w:noProof/>
                <w:sz w:val="14"/>
                <w:szCs w:val="1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DDADEA3" wp14:editId="61C8E6E6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149860</wp:posOffset>
                      </wp:positionV>
                      <wp:extent cx="107950" cy="107950"/>
                      <wp:effectExtent l="3810" t="4445" r="2540" b="1905"/>
                      <wp:wrapNone/>
                      <wp:docPr id="11" name="Прямоугольник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5983C6" id="Прямоугольник 11" o:spid="_x0000_s1026" style="position:absolute;margin-left:-1.5pt;margin-top:11.8pt;width:8.5pt;height: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"/>
                  </w:pict>
                </mc:Fallback>
              </mc:AlternateContent>
            </w:r>
            <w:r w:rsidRPr="00A57797">
              <w:rPr>
                <w:rFonts w:ascii="Calibri" w:eastAsia="Times New Roman" w:hAnsi="Calibri" w:cs="Calibri"/>
                <w:b/>
                <w:sz w:val="16"/>
                <w:szCs w:val="16"/>
                <w:lang w:eastAsia="ru-RU"/>
              </w:rPr>
              <w:t>Депозитарный договор</w:t>
            </w:r>
          </w:p>
          <w:p w14:paraId="0400F4C3" w14:textId="77777777" w:rsidR="00A57797" w:rsidRPr="00A57797" w:rsidRDefault="00A57797" w:rsidP="00A57797">
            <w:pPr>
              <w:tabs>
                <w:tab w:val="left" w:pos="438"/>
                <w:tab w:val="left" w:pos="3324"/>
                <w:tab w:val="left" w:pos="4914"/>
                <w:tab w:val="left" w:pos="7536"/>
              </w:tabs>
              <w:spacing w:before="20" w:after="0" w:line="240" w:lineRule="auto"/>
              <w:ind w:left="284"/>
              <w:jc w:val="both"/>
              <w:rPr>
                <w:rFonts w:ascii="Calibri" w:eastAsia="Times New Roman" w:hAnsi="Calibri" w:cs="Calibri"/>
                <w:b/>
                <w:sz w:val="18"/>
                <w:szCs w:val="18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b/>
                <w:sz w:val="16"/>
                <w:szCs w:val="16"/>
                <w:lang w:eastAsia="ru-RU"/>
              </w:rPr>
              <w:t>Соглашение об электронном документообороте</w:t>
            </w:r>
          </w:p>
          <w:p w14:paraId="33BA89F3" w14:textId="4AE2CC79" w:rsidR="00A57797" w:rsidRPr="00A57797" w:rsidRDefault="00A57797" w:rsidP="00A57797">
            <w:pPr>
              <w:tabs>
                <w:tab w:val="left" w:pos="438"/>
                <w:tab w:val="left" w:pos="3324"/>
                <w:tab w:val="left" w:pos="4914"/>
                <w:tab w:val="left" w:pos="7536"/>
              </w:tabs>
              <w:spacing w:before="20" w:after="0" w:line="240" w:lineRule="auto"/>
              <w:ind w:left="283" w:hanging="459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noProof/>
                <w:sz w:val="14"/>
                <w:szCs w:val="1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09BDC44" wp14:editId="29B975A4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46990</wp:posOffset>
                      </wp:positionV>
                      <wp:extent cx="107950" cy="107950"/>
                      <wp:effectExtent l="3810" t="635" r="2540" b="5715"/>
                      <wp:wrapNone/>
                      <wp:docPr id="10" name="Прямоугольник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963ABA" id="Прямоугольник 10" o:spid="_x0000_s1026" style="position:absolute;margin-left:-1.5pt;margin-top:3.7pt;width:8.5pt;height: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"/>
                  </w:pict>
                </mc:Fallback>
              </mc:AlternateContent>
            </w:r>
            <w:r w:rsidRPr="00A57797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ab/>
            </w:r>
            <w:r w:rsidRPr="00A57797">
              <w:rPr>
                <w:rFonts w:ascii="Calibri" w:eastAsia="Times New Roman" w:hAnsi="Calibri" w:cs="Calibri"/>
                <w:b/>
                <w:sz w:val="16"/>
                <w:szCs w:val="16"/>
                <w:lang w:eastAsia="ru-RU"/>
              </w:rPr>
              <w:t>Договор об осуществлении учета иностранных финансовых инструментов, не квалифицированных в качестве ценных бумаг (далее – «Договор об учете ИФИ»)</w:t>
            </w:r>
          </w:p>
        </w:tc>
      </w:tr>
      <w:tr w:rsidR="00A57797" w:rsidRPr="00A57797" w14:paraId="6128D4F2" w14:textId="77777777" w:rsidTr="001B242C">
        <w:tc>
          <w:tcPr>
            <w:tcW w:w="11199" w:type="dxa"/>
          </w:tcPr>
          <w:p w14:paraId="53E980C4" w14:textId="77777777" w:rsidR="00A57797" w:rsidRPr="00A57797" w:rsidRDefault="00A57797" w:rsidP="00A5779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Клиент заявляет о согласии использовать электронную подпись в документообороте между клиентом и ООО «</w:t>
            </w:r>
            <w:proofErr w:type="spellStart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Кадерус</w:t>
            </w:r>
            <w:proofErr w:type="spellEnd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 xml:space="preserve"> Брокер» в порядке, предусмотренном Правилами электронного документооборота ООО «</w:t>
            </w:r>
            <w:proofErr w:type="spellStart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Кадерус</w:t>
            </w:r>
            <w:proofErr w:type="spellEnd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 xml:space="preserve"> Брокер».</w:t>
            </w:r>
          </w:p>
          <w:p w14:paraId="3FFDB3F3" w14:textId="77777777" w:rsidR="00A57797" w:rsidRPr="00A57797" w:rsidRDefault="00A57797" w:rsidP="00A5779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Клиент заявляет о согласии предоставления номера мобильного телефона на получение одноразовых паролей посредством СМС – уведомлений.</w:t>
            </w:r>
          </w:p>
          <w:p w14:paraId="02ED3577" w14:textId="77777777" w:rsidR="00A57797" w:rsidRPr="00A57797" w:rsidRDefault="00A57797" w:rsidP="00A5779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Клиент заявляет о согласии получения идентификатора (логина) и пароля для доступа к информационным системам ООО «</w:t>
            </w:r>
            <w:proofErr w:type="spellStart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Кадерус</w:t>
            </w:r>
            <w:proofErr w:type="spellEnd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 xml:space="preserve"> Брокер».</w:t>
            </w:r>
          </w:p>
        </w:tc>
      </w:tr>
      <w:tr w:rsidR="00A57797" w:rsidRPr="00A57797" w14:paraId="4733DAAF" w14:textId="77777777" w:rsidTr="001B242C">
        <w:trPr>
          <w:trHeight w:val="4389"/>
        </w:trPr>
        <w:tc>
          <w:tcPr>
            <w:tcW w:w="11199" w:type="dxa"/>
          </w:tcPr>
          <w:p w14:paraId="767E2307" w14:textId="77777777" w:rsidR="00A57797" w:rsidRPr="00A57797" w:rsidRDefault="00A57797" w:rsidP="00A5779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Документы, устанавливающие стандартные условия договоров об оказании клиенту услуг и о порядке взаимодействия сторон:</w:t>
            </w:r>
          </w:p>
          <w:p w14:paraId="6012AF97" w14:textId="77777777" w:rsidR="00A57797" w:rsidRPr="00A57797" w:rsidRDefault="00A57797" w:rsidP="00A57797">
            <w:pPr>
              <w:numPr>
                <w:ilvl w:val="0"/>
                <w:numId w:val="2"/>
              </w:numPr>
              <w:tabs>
                <w:tab w:val="num" w:pos="317"/>
              </w:tabs>
              <w:spacing w:after="0" w:line="240" w:lineRule="auto"/>
              <w:ind w:left="317" w:hanging="284"/>
              <w:jc w:val="both"/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«Регламент оказания ООО «</w:t>
            </w:r>
            <w:proofErr w:type="spellStart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Кадерус</w:t>
            </w:r>
            <w:proofErr w:type="spellEnd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 xml:space="preserve"> Брокер» брокерских услуг на рынках ценных бумаг» и приложения к нему – условия брокерского обслуживания на рынке ценных бумаг (включая необеспеченные и срочные сделки), условия оказания ООО «</w:t>
            </w:r>
            <w:proofErr w:type="spellStart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Кадерус</w:t>
            </w:r>
            <w:proofErr w:type="spellEnd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 xml:space="preserve"> Брокер» услуг по совершению сделок с иностранной валютой на организованных торгах ПАО Московская Биржа;</w:t>
            </w:r>
          </w:p>
          <w:p w14:paraId="47E70AFF" w14:textId="77777777" w:rsidR="00A57797" w:rsidRPr="00A57797" w:rsidRDefault="00A57797" w:rsidP="00A57797">
            <w:pPr>
              <w:numPr>
                <w:ilvl w:val="0"/>
                <w:numId w:val="2"/>
              </w:numPr>
              <w:tabs>
                <w:tab w:val="num" w:pos="317"/>
              </w:tabs>
              <w:spacing w:after="0" w:line="240" w:lineRule="auto"/>
              <w:ind w:left="317" w:hanging="284"/>
              <w:jc w:val="both"/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«Условия осуществления депозитарной деятельности ООО «</w:t>
            </w:r>
            <w:proofErr w:type="spellStart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Кадерус</w:t>
            </w:r>
            <w:proofErr w:type="spellEnd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 xml:space="preserve"> Брокер»» и приложения к ним (далее – «Условия») – условия депозитарного договора;</w:t>
            </w:r>
          </w:p>
          <w:p w14:paraId="059DBBFF" w14:textId="77777777" w:rsidR="00A57797" w:rsidRPr="00A57797" w:rsidRDefault="00A57797" w:rsidP="00A57797">
            <w:pPr>
              <w:numPr>
                <w:ilvl w:val="0"/>
                <w:numId w:val="2"/>
              </w:numPr>
              <w:tabs>
                <w:tab w:val="num" w:pos="317"/>
              </w:tabs>
              <w:spacing w:after="0" w:line="240" w:lineRule="auto"/>
              <w:ind w:left="317" w:hanging="284"/>
              <w:jc w:val="both"/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«Правила электронного документооборота ООО «</w:t>
            </w:r>
            <w:proofErr w:type="spellStart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Кадерус</w:t>
            </w:r>
            <w:proofErr w:type="spellEnd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 xml:space="preserve"> Брокер»» и приложения к ним – порядок функционирования информационной системы, обеспечивающей передачу электронных документов между участниками данной системы, а также порядок использования электронной подписи в документообороте между клиентом и ООО «</w:t>
            </w:r>
            <w:proofErr w:type="spellStart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Кадерус</w:t>
            </w:r>
            <w:proofErr w:type="spellEnd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 xml:space="preserve"> Брокер»;</w:t>
            </w:r>
          </w:p>
          <w:p w14:paraId="0F41D392" w14:textId="77777777" w:rsidR="00A57797" w:rsidRPr="00A57797" w:rsidRDefault="00A57797" w:rsidP="00A57797">
            <w:pPr>
              <w:numPr>
                <w:ilvl w:val="0"/>
                <w:numId w:val="2"/>
              </w:numPr>
              <w:tabs>
                <w:tab w:val="num" w:pos="317"/>
              </w:tabs>
              <w:spacing w:after="0" w:line="240" w:lineRule="auto"/>
              <w:ind w:left="317" w:hanging="284"/>
              <w:jc w:val="both"/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«Договор об осуществлении учета иностранных финансовых инструментов, не квалифицированных в качестве ценных бумаг» и приложения к нему – условия оказания ООО «</w:t>
            </w:r>
            <w:proofErr w:type="spellStart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Кадерус</w:t>
            </w:r>
            <w:proofErr w:type="spellEnd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 xml:space="preserve"> Брокер» услуг по учету иностранных финансовых инструментов, не квалифицированных в качестве ценных бумаг (далее – «ИФИ»);</w:t>
            </w:r>
          </w:p>
          <w:p w14:paraId="6B5E48C6" w14:textId="77777777" w:rsidR="00A57797" w:rsidRPr="00A57797" w:rsidRDefault="00A57797" w:rsidP="00A57797">
            <w:pPr>
              <w:numPr>
                <w:ilvl w:val="0"/>
                <w:numId w:val="2"/>
              </w:numPr>
              <w:tabs>
                <w:tab w:val="num" w:pos="317"/>
              </w:tabs>
              <w:spacing w:after="0" w:line="240" w:lineRule="auto"/>
              <w:ind w:left="317" w:hanging="284"/>
              <w:jc w:val="both"/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«Тарифы ООО «</w:t>
            </w:r>
            <w:proofErr w:type="spellStart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Кадерус</w:t>
            </w:r>
            <w:proofErr w:type="spellEnd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 xml:space="preserve"> Брокер» на оказание услуг» - размер оплаты услуг и возмещения расходов ООО «</w:t>
            </w:r>
            <w:proofErr w:type="spellStart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Кадерус</w:t>
            </w:r>
            <w:proofErr w:type="spellEnd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 xml:space="preserve"> Брокер» по заключенным договорам.</w:t>
            </w:r>
          </w:p>
          <w:p w14:paraId="1B1AD1BD" w14:textId="77777777" w:rsidR="00A57797" w:rsidRPr="00A57797" w:rsidRDefault="00A57797" w:rsidP="00A57797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ООО «</w:t>
            </w:r>
            <w:proofErr w:type="spellStart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Кадерус</w:t>
            </w:r>
            <w:proofErr w:type="spellEnd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 xml:space="preserve"> Брокер» в одностороннем порядке утверждает и вносит изменения в вышеуказанные документы. О вступлении в силу изменений ООО «</w:t>
            </w:r>
            <w:proofErr w:type="spellStart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Кадерус</w:t>
            </w:r>
            <w:proofErr w:type="spellEnd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 xml:space="preserve"> Брокер» обязано уведомлять клиента не позднее, чем за 10 (десять) рабочих дней. Текст вышеуказанных документов и уведомления об их изменении, а </w:t>
            </w:r>
            <w:proofErr w:type="gramStart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также  иные</w:t>
            </w:r>
            <w:proofErr w:type="gramEnd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 xml:space="preserve"> уведомления и требования, адресованные клиенту размещаются в сети</w:t>
            </w:r>
            <w:r w:rsidRPr="00A57797">
              <w:rPr>
                <w:rFonts w:ascii="Calibri" w:eastAsia="Times New Roman" w:hAnsi="Calibri" w:cs="Calibri"/>
                <w:color w:val="FF0000"/>
                <w:sz w:val="12"/>
                <w:szCs w:val="12"/>
                <w:lang w:eastAsia="ru-RU"/>
              </w:rPr>
              <w:t xml:space="preserve"> </w:t>
            </w:r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«Интернет» по адресу https://caderus.broker. Риск неблагоприятных последствий, вызванных неполучением клиентом информации, размещенной в сети «Интернет», несет клиент. ООО «</w:t>
            </w:r>
            <w:proofErr w:type="spellStart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Кадерус</w:t>
            </w:r>
            <w:proofErr w:type="spellEnd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 xml:space="preserve"> Брокер» вправе заменить указанный адрес в сети «Интернет», опубликовав соответствующее уведомление в периодическом печатном издании, распространяемом на территории Российской Федерации тиражом не менее 50 000 (Пятидесяти тысяч) экземпляров не позднее, чем за 10 (Десять) дней.</w:t>
            </w:r>
          </w:p>
          <w:p w14:paraId="6EECF23C" w14:textId="77777777" w:rsidR="00A57797" w:rsidRPr="00A57797" w:rsidRDefault="00A57797" w:rsidP="00A5779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Клиент подтверждает:</w:t>
            </w:r>
          </w:p>
          <w:p w14:paraId="1315D8F1" w14:textId="77777777" w:rsidR="00A57797" w:rsidRPr="00A57797" w:rsidRDefault="00A57797" w:rsidP="00A57797">
            <w:pPr>
              <w:numPr>
                <w:ilvl w:val="0"/>
                <w:numId w:val="1"/>
              </w:numPr>
              <w:tabs>
                <w:tab w:val="left" w:pos="0"/>
                <w:tab w:val="num" w:pos="282"/>
              </w:tabs>
              <w:spacing w:after="0" w:line="240" w:lineRule="auto"/>
              <w:ind w:left="282" w:hanging="234"/>
              <w:jc w:val="both"/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ознакомление и согласие со всеми условиями и требованиями, установленными вышеуказанными документами;</w:t>
            </w:r>
          </w:p>
          <w:p w14:paraId="483053D1" w14:textId="77777777" w:rsidR="00A57797" w:rsidRPr="00A57797" w:rsidRDefault="00A57797" w:rsidP="00A57797">
            <w:pPr>
              <w:numPr>
                <w:ilvl w:val="0"/>
                <w:numId w:val="1"/>
              </w:numPr>
              <w:tabs>
                <w:tab w:val="num" w:pos="-1356"/>
                <w:tab w:val="left" w:pos="0"/>
              </w:tabs>
              <w:spacing w:after="0" w:line="240" w:lineRule="auto"/>
              <w:ind w:left="282" w:hanging="234"/>
              <w:jc w:val="both"/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ознакомление с Декларацией о рисках, связанных с осуществлением операций на рынке ценных бумаг, заключением договоров, являющихся производными финансовыми инструментами (в том числе об общих рисках, о рисках, связанных с совершением маржинальных и непокрытых сделок; совершением операций с производными финансовыми инструментами; приобретением иностранных ценных бумаг; заключением договоров, являющихся производными финансовыми инструментами, базисным активом которых являются ценные бумаги иностранных эмитентов или индексы, рассчитанные по таким ценным бумагам), размещенной в сети «Интернет» по адресу https://caderus.broker;</w:t>
            </w:r>
          </w:p>
          <w:p w14:paraId="010C5099" w14:textId="77777777" w:rsidR="00A57797" w:rsidRPr="00A57797" w:rsidRDefault="00A57797" w:rsidP="00A57797">
            <w:pPr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277" w:hanging="232"/>
              <w:jc w:val="both"/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ознакомление с Перечнем мер, направленных на предотвращение конфликта интересов при осуществлении ООО «</w:t>
            </w:r>
            <w:proofErr w:type="spellStart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Кадерус</w:t>
            </w:r>
            <w:proofErr w:type="spellEnd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 xml:space="preserve"> Брокер» профессиональной деятельности на рынке ценных бумаг и предоставления услуг на валютном рынке, размещенным в сети «Интернет» по адресу https://caderus.broker;</w:t>
            </w:r>
          </w:p>
          <w:p w14:paraId="507C9EA0" w14:textId="77777777" w:rsidR="00A57797" w:rsidRPr="00A57797" w:rsidRDefault="00A57797" w:rsidP="00A57797">
            <w:pPr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277" w:hanging="232"/>
              <w:jc w:val="both"/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 xml:space="preserve">получение письменного уведомления, содержащего информацию о том, что денежные средства клиента будут учитываться на специальном брокерском счете (счетах) вместе со средствами других клиентов (за исключением случаев, когда это </w:t>
            </w:r>
            <w:r w:rsidRPr="00A57797">
              <w:rPr>
                <w:rFonts w:ascii="Calibri" w:eastAsia="Times New Roman" w:hAnsi="Calibri" w:cs="Calibri"/>
                <w:iCs/>
                <w:sz w:val="12"/>
                <w:szCs w:val="12"/>
                <w:lang w:eastAsia="ru-RU"/>
              </w:rPr>
              <w:t>запрещено правовыми актами Российской Федерации)</w:t>
            </w:r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, а также о рисках, возникающих при учете средств клиента на одном счете со средствами других клиентов; информацию о возможности и условиях открытия отдельного специального брокерского счета для денежных средств клиента; информацию о возможности и условиях использования ООО «</w:t>
            </w:r>
            <w:proofErr w:type="spellStart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Кадерус</w:t>
            </w:r>
            <w:proofErr w:type="spellEnd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 xml:space="preserve"> Брокер» в собственных интересах денежных средств клиента (за исключением случаев, когда </w:t>
            </w:r>
            <w:r w:rsidRPr="00A57797">
              <w:rPr>
                <w:rFonts w:ascii="Calibri" w:eastAsia="Times New Roman" w:hAnsi="Calibri" w:cs="Calibri"/>
                <w:iCs/>
                <w:sz w:val="12"/>
                <w:szCs w:val="12"/>
                <w:lang w:eastAsia="ru-RU"/>
              </w:rPr>
              <w:t>это запрещено правовыми актами Российской Федерации)</w:t>
            </w:r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, а также о возникающих в данной связи рисках, в том числе, связанных с возможностью зачисления денежных средств на собственный счет ООО «</w:t>
            </w:r>
            <w:proofErr w:type="spellStart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Кадерус</w:t>
            </w:r>
            <w:proofErr w:type="spellEnd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 xml:space="preserve"> Брокер», о безвозмездности использования ООО «</w:t>
            </w:r>
            <w:proofErr w:type="spellStart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Кадерус</w:t>
            </w:r>
            <w:proofErr w:type="spellEnd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 xml:space="preserve"> Брокер» денежных средств клиента, если иные условия не предусмотрены применяемым к клиенту тарифным планом; </w:t>
            </w:r>
          </w:p>
          <w:p w14:paraId="57DE3DEF" w14:textId="77777777" w:rsidR="00A57797" w:rsidRPr="00A57797" w:rsidRDefault="00A57797" w:rsidP="00A57797">
            <w:pPr>
              <w:numPr>
                <w:ilvl w:val="0"/>
                <w:numId w:val="1"/>
              </w:numPr>
              <w:tabs>
                <w:tab w:val="left" w:pos="0"/>
                <w:tab w:val="num" w:pos="282"/>
              </w:tabs>
              <w:spacing w:after="0" w:line="240" w:lineRule="auto"/>
              <w:ind w:left="282" w:hanging="282"/>
              <w:jc w:val="both"/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факт уведомления о том, что имущество клиента, предоставленное в качестве обеспечения обязательств, допущенных к клирингу, и обязательства, возникшие из договоров, заключенных ООО «</w:t>
            </w:r>
            <w:proofErr w:type="spellStart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Кадерус</w:t>
            </w:r>
            <w:proofErr w:type="spellEnd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 xml:space="preserve"> Брокер» за счет клиента, будут учитываться клиринговой организацией совместно с имуществом и обязательствами других клиентов (за исключением случаев, когда это запрещено правовыми актами Российской Федерации), а также о рисках клиента, связанных с отсутствием отдельного учета клиринговой организацией имущества клиента, предоставленного в качестве обеспечения, и обязательств ООО «</w:t>
            </w:r>
            <w:proofErr w:type="spellStart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Кадерус</w:t>
            </w:r>
            <w:proofErr w:type="spellEnd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 xml:space="preserve"> Брокер», возникших из договоров, заключенных за счет клиента; о  возможностях и условиях ведения отдельного учета клиринговой организацией имущества клиента, предоставленного в качестве обеспечения, и обязательств ООО «</w:t>
            </w:r>
            <w:proofErr w:type="spellStart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Кадерус</w:t>
            </w:r>
            <w:proofErr w:type="spellEnd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 xml:space="preserve"> Брокер», возникших из договоров, заключенных за счет клиента;</w:t>
            </w:r>
          </w:p>
          <w:p w14:paraId="03FAEF04" w14:textId="77777777" w:rsidR="00A57797" w:rsidRPr="00A57797" w:rsidRDefault="00A57797" w:rsidP="00A57797">
            <w:pPr>
              <w:numPr>
                <w:ilvl w:val="0"/>
                <w:numId w:val="1"/>
              </w:numPr>
              <w:tabs>
                <w:tab w:val="left" w:pos="0"/>
                <w:tab w:val="num" w:pos="282"/>
              </w:tabs>
              <w:spacing w:after="0" w:line="240" w:lineRule="auto"/>
              <w:ind w:left="282" w:hanging="282"/>
              <w:jc w:val="both"/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факт уведомления о наличии у клиента прав и гарантий, установленных Федеральным законом «О защите прав и законных интересов инвесторов на рынке ценных бумаг», а также о совмещении ООО «</w:t>
            </w:r>
            <w:proofErr w:type="spellStart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Кадерус</w:t>
            </w:r>
            <w:proofErr w:type="spellEnd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 xml:space="preserve"> Брокер» депозитарной деятельности с брокерской и дилерской деятельностью на рынке ценных бумаг;</w:t>
            </w:r>
          </w:p>
          <w:p w14:paraId="4CB0233A" w14:textId="77777777" w:rsidR="00A57797" w:rsidRPr="00A57797" w:rsidRDefault="00A57797" w:rsidP="00A57797">
            <w:pPr>
              <w:numPr>
                <w:ilvl w:val="0"/>
                <w:numId w:val="1"/>
              </w:numPr>
              <w:tabs>
                <w:tab w:val="left" w:pos="0"/>
                <w:tab w:val="num" w:pos="282"/>
              </w:tabs>
              <w:spacing w:after="0" w:line="240" w:lineRule="auto"/>
              <w:ind w:left="282" w:hanging="282"/>
              <w:jc w:val="both"/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факт уведомления о том, что ООО «</w:t>
            </w:r>
            <w:proofErr w:type="spellStart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Кадерус</w:t>
            </w:r>
            <w:proofErr w:type="spellEnd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 xml:space="preserve"> Брокер» вправе отказать клиенту в оказании предусмотренных настоящим заявлением услуг.</w:t>
            </w:r>
          </w:p>
          <w:p w14:paraId="1C443972" w14:textId="77777777" w:rsidR="00A57797" w:rsidRPr="00A57797" w:rsidRDefault="00A57797" w:rsidP="00A5779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ООО «</w:t>
            </w:r>
            <w:proofErr w:type="spellStart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Кадерус</w:t>
            </w:r>
            <w:proofErr w:type="spellEnd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 xml:space="preserve"> Брокер» является участником клиринга на валютном рынке и в случае оказания клиенту услуг по совершению сделок с иностранной валютой на организованных торгах ПАО Московская Биржа  будет в интересах клиента заключать и исполнять сделки (договоры) с иностранной валютой на организованных торгах ПАО Московская Биржа, обязательства по которым подлежат исполнению по итогам клиринга, осуществляемого в соответствии с Федеральным законом «О клиринге и клиринговой деятельности» и Правилами клиринга Банка «Национальный Клиринговый Центр» (Акционерное общество) на валютном рынке. В связи с этим на основании действующего валютного законодательства РФ клиент вправе:</w:t>
            </w:r>
          </w:p>
          <w:p w14:paraId="005C87EF" w14:textId="77777777" w:rsidR="00A57797" w:rsidRPr="00A57797" w:rsidRDefault="00A57797" w:rsidP="00A57797">
            <w:pPr>
              <w:tabs>
                <w:tab w:val="left" w:pos="175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•</w:t>
            </w:r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ab/>
              <w:t>осуществлять перечисление денежных средств в иностранной валюте со своих счетов в уполномоченных банках на территории РФ на счет(а) ООО «</w:t>
            </w:r>
            <w:proofErr w:type="spellStart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Кадерус</w:t>
            </w:r>
            <w:proofErr w:type="spellEnd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 xml:space="preserve"> Брокер» в уполномоченных банках на территории РФ в целях (i) внесения индивидуального и (или) коллективного клирингового обеспечения или (</w:t>
            </w:r>
            <w:proofErr w:type="spellStart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ii</w:t>
            </w:r>
            <w:proofErr w:type="spellEnd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) проведения операций между клиентом и ООО «</w:t>
            </w:r>
            <w:proofErr w:type="spellStart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Кадерус</w:t>
            </w:r>
            <w:proofErr w:type="spellEnd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 xml:space="preserve"> Брокер» при оказании ООО «</w:t>
            </w:r>
            <w:proofErr w:type="spellStart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Кадерус</w:t>
            </w:r>
            <w:proofErr w:type="spellEnd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 xml:space="preserve"> Брокер» услуг, связанных с заключением и исполнением сделок (договоров), обязательства по которым подлежат исполнению по итогам клиринга, осуществляемого в соответствии с Федеральным законом «О клиринге и клиринговой деятельности», </w:t>
            </w:r>
          </w:p>
          <w:p w14:paraId="78D7942B" w14:textId="77777777" w:rsidR="00A57797" w:rsidRPr="00A57797" w:rsidRDefault="00A57797" w:rsidP="00A57797">
            <w:pPr>
              <w:tabs>
                <w:tab w:val="left" w:pos="175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•</w:t>
            </w:r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ab/>
              <w:t>получать на свои счета в уполномоченных банках на территории РФ денежные средства в иностранной валюте, перечисляемые со счетов ООО «</w:t>
            </w:r>
            <w:proofErr w:type="spellStart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Кадерус</w:t>
            </w:r>
            <w:proofErr w:type="spellEnd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 xml:space="preserve"> Брокер», в уполномоченных банках на территории РФ в целях возврата клиенту денежных сумм при оказании ООО «</w:t>
            </w:r>
            <w:proofErr w:type="spellStart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Кадерус</w:t>
            </w:r>
            <w:proofErr w:type="spellEnd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 xml:space="preserve"> Брокер» услуг, связанных с заключением и исполнением договоров, обязательства по которым подлежат исполнению по итогам клиринга в соответствии с ФЗ РФ «О клиринге и клиринговой деятельности».</w:t>
            </w:r>
          </w:p>
          <w:p w14:paraId="015C263E" w14:textId="77777777" w:rsidR="00A57797" w:rsidRPr="00A57797" w:rsidRDefault="00A57797" w:rsidP="00A5779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Все споры, возникающие из указанных в настоящем заявлении договоров или прямо или косвенно связанные с ними, в том числе касающиеся их заключения, существования, изменения, исполнения, нарушения, расторжения, прекращения и действительности, подлежат разрешению в порядке арбитража (третейского разбирательства), администрируемого Арбитражным центром при Российском союзе промышленников и предпринимателей (РСПП) в соответствии с его правилами, действующими на дату подачи искового заявления. Вынесенное третейским судом решение будет окончательным, обязательным для сторон и не подлежит оспариванию.</w:t>
            </w:r>
          </w:p>
        </w:tc>
      </w:tr>
      <w:tr w:rsidR="00A57797" w:rsidRPr="00A57797" w14:paraId="1D04D6E9" w14:textId="77777777" w:rsidTr="001B242C">
        <w:trPr>
          <w:trHeight w:val="554"/>
        </w:trPr>
        <w:tc>
          <w:tcPr>
            <w:tcW w:w="11199" w:type="dxa"/>
          </w:tcPr>
          <w:p w14:paraId="2B595454" w14:textId="77777777" w:rsidR="00A57797" w:rsidRPr="00A57797" w:rsidRDefault="00A57797" w:rsidP="00A5779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Клиент (в случае заключения депозитарного договора клиент (депонент) поручает ООО «</w:t>
            </w:r>
            <w:proofErr w:type="spellStart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Кадерус</w:t>
            </w:r>
            <w:proofErr w:type="spellEnd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 xml:space="preserve"> Брокер» осуществлять списание со счета депо и зачисление на счет депо ценных бумаг, а также осуществлять иные необходимые операции для исполнения сделок, совершенных за счет клиента (депонента) в рамках договора о брокерском обслуживании на рынке ценных бумаг между клиентом (депонентом) и ООО «</w:t>
            </w:r>
            <w:proofErr w:type="spellStart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Кадерус</w:t>
            </w:r>
            <w:proofErr w:type="spellEnd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 xml:space="preserve"> Брокер». В случае подачи клиентом (депонентом) уведомления в ООО «</w:t>
            </w:r>
            <w:proofErr w:type="spellStart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Кадерус</w:t>
            </w:r>
            <w:proofErr w:type="spellEnd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 xml:space="preserve"> Брокер» о соответствии счета депо брокерскому счету (портфелю), списание, зачисление ценных бумаг и иные операции по соответствующему счету депо должны осуществляться для исполнения сделок, совершенных в рамках договора о брокерском обслуживании на рынке ценных бумаг, заключенного между ООО «</w:t>
            </w:r>
            <w:proofErr w:type="spellStart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Кадерус</w:t>
            </w:r>
            <w:proofErr w:type="spellEnd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 xml:space="preserve"> Брокер» и клиентом, указанным в уведомлении. Состав и количество ценных бумаг, с которыми должны быть осуществлены операции для исполнения сделок; сроки осуществления операций; лица, на счета (со счетов) которых должны быть переведены ценные бумаги; а также иные необходимые сведения определяются на основании условий соответствующих сделок. Настоящее поручение действует до его отмены.</w:t>
            </w:r>
          </w:p>
        </w:tc>
      </w:tr>
      <w:tr w:rsidR="00A57797" w:rsidRPr="00A57797" w14:paraId="13EC084C" w14:textId="77777777" w:rsidTr="001B242C">
        <w:trPr>
          <w:trHeight w:val="554"/>
        </w:trPr>
        <w:tc>
          <w:tcPr>
            <w:tcW w:w="11199" w:type="dxa"/>
          </w:tcPr>
          <w:p w14:paraId="5DB56B8E" w14:textId="77777777" w:rsidR="00A57797" w:rsidRPr="00A57797" w:rsidRDefault="00A57797" w:rsidP="00A5779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Клиент поручает ООО «</w:t>
            </w:r>
            <w:proofErr w:type="spellStart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Кадерус</w:t>
            </w:r>
            <w:proofErr w:type="spellEnd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 xml:space="preserve"> Брокер» осуществлять списание со своего счета и зачисление на свой счет в ООО «</w:t>
            </w:r>
            <w:proofErr w:type="spellStart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Кадерус</w:t>
            </w:r>
            <w:proofErr w:type="spellEnd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 xml:space="preserve"> Брокер» ИФИ, а также осуществлять иные необходимые операции, связанные с исполнением сделок, совершенных за счет клиента в рамках договора о брокерском обслуживании на рынке ценных бумаг между клиентом и ООО «</w:t>
            </w:r>
            <w:proofErr w:type="spellStart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Кадерус</w:t>
            </w:r>
            <w:proofErr w:type="spellEnd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 xml:space="preserve"> Брокер». В случае подачи клиентом уведомления в ООО «</w:t>
            </w:r>
            <w:proofErr w:type="spellStart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Кадерус</w:t>
            </w:r>
            <w:proofErr w:type="spellEnd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 xml:space="preserve"> Брокер» о соответствии счета брокерскому счету (портфелю), списание, зачисление ИФИ и иные операции по соответствующему счету должны осуществляться в связи с исполнением сделок, совершенных в рамках договора о брокерском обслуживании на рынке ценных бумаг, заключенного между ООО «</w:t>
            </w:r>
            <w:proofErr w:type="spellStart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Кадерус</w:t>
            </w:r>
            <w:proofErr w:type="spellEnd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 xml:space="preserve"> Брокер» и клиентом, указанным в уведомлении. Состав и количество ИФИ, с которыми должны быть осуществлены операции; сроки осуществления операций; а также иные необходимые сведения определяются на основании условий соответствующих сделок. Настоящее поручение действует до его отмены.</w:t>
            </w:r>
          </w:p>
        </w:tc>
      </w:tr>
    </w:tbl>
    <w:p w14:paraId="6106F9B0" w14:textId="77777777" w:rsidR="00A57797" w:rsidRPr="00A57797" w:rsidRDefault="00A57797" w:rsidP="00A57797">
      <w:pPr>
        <w:spacing w:after="0" w:line="240" w:lineRule="auto"/>
        <w:jc w:val="both"/>
        <w:rPr>
          <w:rFonts w:ascii="Calibri" w:eastAsia="Times New Roman" w:hAnsi="Calibri" w:cs="Calibri"/>
          <w:sz w:val="8"/>
          <w:szCs w:val="8"/>
          <w:lang w:eastAsia="ru-RU"/>
        </w:rPr>
      </w:pPr>
    </w:p>
    <w:tbl>
      <w:tblPr>
        <w:tblW w:w="1119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567"/>
        <w:gridCol w:w="1276"/>
        <w:gridCol w:w="425"/>
        <w:gridCol w:w="851"/>
        <w:gridCol w:w="992"/>
        <w:gridCol w:w="283"/>
        <w:gridCol w:w="1151"/>
        <w:gridCol w:w="1117"/>
        <w:gridCol w:w="426"/>
        <w:gridCol w:w="141"/>
        <w:gridCol w:w="142"/>
        <w:gridCol w:w="284"/>
        <w:gridCol w:w="283"/>
        <w:gridCol w:w="284"/>
        <w:gridCol w:w="283"/>
        <w:gridCol w:w="284"/>
        <w:gridCol w:w="283"/>
        <w:gridCol w:w="284"/>
      </w:tblGrid>
      <w:tr w:rsidR="00A57797" w:rsidRPr="00A57797" w14:paraId="6A424B04" w14:textId="77777777" w:rsidTr="001B242C">
        <w:tc>
          <w:tcPr>
            <w:tcW w:w="11199" w:type="dxa"/>
            <w:gridSpan w:val="19"/>
          </w:tcPr>
          <w:p w14:paraId="63A5C9F9" w14:textId="77777777" w:rsidR="00A57797" w:rsidRPr="00A57797" w:rsidRDefault="00A57797" w:rsidP="00A577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b/>
                <w:sz w:val="14"/>
                <w:szCs w:val="14"/>
                <w:lang w:eastAsia="ru-RU"/>
              </w:rPr>
              <w:t>Сведения о клиенте</w:t>
            </w:r>
          </w:p>
        </w:tc>
      </w:tr>
      <w:tr w:rsidR="00A57797" w:rsidRPr="00A57797" w14:paraId="6E5B731B" w14:textId="77777777" w:rsidTr="001B242C">
        <w:trPr>
          <w:trHeight w:val="192"/>
        </w:trPr>
        <w:tc>
          <w:tcPr>
            <w:tcW w:w="2410" w:type="dxa"/>
            <w:gridSpan w:val="2"/>
          </w:tcPr>
          <w:p w14:paraId="0C44D86F" w14:textId="77777777" w:rsidR="00A57797" w:rsidRPr="00A57797" w:rsidRDefault="00A57797" w:rsidP="00A57797">
            <w:pPr>
              <w:spacing w:after="0" w:line="240" w:lineRule="auto"/>
              <w:ind w:left="-30"/>
              <w:jc w:val="both"/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  <w:t>Фамилия, имя, отчество (полностью)</w:t>
            </w:r>
          </w:p>
        </w:tc>
        <w:tc>
          <w:tcPr>
            <w:tcW w:w="8789" w:type="dxa"/>
            <w:gridSpan w:val="17"/>
          </w:tcPr>
          <w:p w14:paraId="482FD717" w14:textId="77777777" w:rsidR="00A57797" w:rsidRPr="00A57797" w:rsidRDefault="00A57797" w:rsidP="00A5779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</w:pPr>
          </w:p>
        </w:tc>
      </w:tr>
      <w:tr w:rsidR="00A57797" w:rsidRPr="00A57797" w14:paraId="2416EC0F" w14:textId="77777777" w:rsidTr="001B242C">
        <w:trPr>
          <w:trHeight w:val="120"/>
        </w:trPr>
        <w:tc>
          <w:tcPr>
            <w:tcW w:w="2410" w:type="dxa"/>
            <w:gridSpan w:val="2"/>
            <w:vMerge w:val="restart"/>
          </w:tcPr>
          <w:p w14:paraId="455BC646" w14:textId="77777777" w:rsidR="00A57797" w:rsidRPr="00A57797" w:rsidRDefault="00A57797" w:rsidP="00A57797">
            <w:pPr>
              <w:spacing w:after="0" w:line="240" w:lineRule="auto"/>
              <w:ind w:left="-30"/>
              <w:jc w:val="both"/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  <w:t>Паспорт</w:t>
            </w:r>
          </w:p>
        </w:tc>
        <w:tc>
          <w:tcPr>
            <w:tcW w:w="1276" w:type="dxa"/>
          </w:tcPr>
          <w:p w14:paraId="6CD241D2" w14:textId="77777777" w:rsidR="00A57797" w:rsidRPr="00A57797" w:rsidRDefault="00A57797" w:rsidP="00A57797">
            <w:pPr>
              <w:spacing w:after="0" w:line="240" w:lineRule="auto"/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  <w:t xml:space="preserve">серия </w:t>
            </w:r>
            <w:r w:rsidRPr="00A57797">
              <w:rPr>
                <w:rFonts w:ascii="Calibri" w:eastAsia="Times New Roman" w:hAnsi="Calibri" w:cs="Calibri"/>
                <w:b/>
                <w:sz w:val="12"/>
                <w:szCs w:val="12"/>
                <w:lang w:val="en-US" w:eastAsia="ru-RU"/>
              </w:rPr>
              <w:t>/</w:t>
            </w:r>
            <w:r w:rsidRPr="00A57797"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  <w:t xml:space="preserve"> №</w:t>
            </w:r>
          </w:p>
        </w:tc>
        <w:tc>
          <w:tcPr>
            <w:tcW w:w="3702" w:type="dxa"/>
            <w:gridSpan w:val="5"/>
          </w:tcPr>
          <w:p w14:paraId="5933FFB0" w14:textId="77777777" w:rsidR="00A57797" w:rsidRPr="00A57797" w:rsidRDefault="00A57797" w:rsidP="00A5779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</w:pPr>
          </w:p>
        </w:tc>
        <w:tc>
          <w:tcPr>
            <w:tcW w:w="1117" w:type="dxa"/>
          </w:tcPr>
          <w:p w14:paraId="3AE4DA14" w14:textId="77777777" w:rsidR="00A57797" w:rsidRPr="00A57797" w:rsidRDefault="00A57797" w:rsidP="00A5779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  <w:t>дата выдачи</w:t>
            </w:r>
          </w:p>
        </w:tc>
        <w:tc>
          <w:tcPr>
            <w:tcW w:w="2694" w:type="dxa"/>
            <w:gridSpan w:val="10"/>
          </w:tcPr>
          <w:p w14:paraId="788F149E" w14:textId="77777777" w:rsidR="00A57797" w:rsidRPr="00A57797" w:rsidRDefault="00A57797" w:rsidP="00A5779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</w:pPr>
          </w:p>
        </w:tc>
      </w:tr>
      <w:tr w:rsidR="00A57797" w:rsidRPr="00A57797" w14:paraId="5B529265" w14:textId="77777777" w:rsidTr="001B242C">
        <w:trPr>
          <w:trHeight w:val="121"/>
        </w:trPr>
        <w:tc>
          <w:tcPr>
            <w:tcW w:w="2410" w:type="dxa"/>
            <w:gridSpan w:val="2"/>
            <w:vMerge/>
          </w:tcPr>
          <w:p w14:paraId="1E6ABC44" w14:textId="77777777" w:rsidR="00A57797" w:rsidRPr="00A57797" w:rsidRDefault="00A57797" w:rsidP="00A57797">
            <w:pPr>
              <w:spacing w:after="0" w:line="240" w:lineRule="auto"/>
              <w:ind w:left="-30" w:right="-108"/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</w:tcPr>
          <w:p w14:paraId="7FC534BF" w14:textId="77777777" w:rsidR="00A57797" w:rsidRPr="00A57797" w:rsidRDefault="00A57797" w:rsidP="00A57797">
            <w:pPr>
              <w:spacing w:after="0" w:line="240" w:lineRule="auto"/>
              <w:ind w:right="-108"/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  <w:t>выдавший орган</w:t>
            </w:r>
          </w:p>
        </w:tc>
        <w:tc>
          <w:tcPr>
            <w:tcW w:w="7513" w:type="dxa"/>
            <w:gridSpan w:val="16"/>
          </w:tcPr>
          <w:p w14:paraId="4B857E7E" w14:textId="77777777" w:rsidR="00A57797" w:rsidRPr="00A57797" w:rsidRDefault="00A57797" w:rsidP="00A5779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</w:pPr>
          </w:p>
        </w:tc>
      </w:tr>
      <w:tr w:rsidR="00A57797" w:rsidRPr="00A57797" w14:paraId="4F1DCA65" w14:textId="77777777" w:rsidTr="001B242C">
        <w:trPr>
          <w:trHeight w:val="110"/>
        </w:trPr>
        <w:tc>
          <w:tcPr>
            <w:tcW w:w="2410" w:type="dxa"/>
            <w:gridSpan w:val="2"/>
          </w:tcPr>
          <w:p w14:paraId="09C718BE" w14:textId="77777777" w:rsidR="00A57797" w:rsidRPr="00A57797" w:rsidRDefault="00A57797" w:rsidP="00A57797">
            <w:pPr>
              <w:spacing w:after="0" w:line="240" w:lineRule="auto"/>
              <w:ind w:left="-30"/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  <w:t>ИНН</w:t>
            </w:r>
          </w:p>
        </w:tc>
        <w:tc>
          <w:tcPr>
            <w:tcW w:w="1276" w:type="dxa"/>
          </w:tcPr>
          <w:p w14:paraId="360CE1A7" w14:textId="77777777" w:rsidR="00A57797" w:rsidRPr="00A57797" w:rsidRDefault="00A57797" w:rsidP="00A5779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</w:pPr>
          </w:p>
        </w:tc>
        <w:tc>
          <w:tcPr>
            <w:tcW w:w="5386" w:type="dxa"/>
            <w:gridSpan w:val="8"/>
          </w:tcPr>
          <w:p w14:paraId="27399917" w14:textId="77777777" w:rsidR="00A57797" w:rsidRPr="00A57797" w:rsidRDefault="00A57797" w:rsidP="00A5779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  <w:t>№ идентификатора (логина) для доступа к информационным системам ООО «</w:t>
            </w:r>
            <w:proofErr w:type="spellStart"/>
            <w:r w:rsidRPr="00A57797"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  <w:t>Кадерус</w:t>
            </w:r>
            <w:proofErr w:type="spellEnd"/>
            <w:r w:rsidRPr="00A57797"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  <w:t xml:space="preserve"> Брокер»</w:t>
            </w:r>
          </w:p>
        </w:tc>
        <w:tc>
          <w:tcPr>
            <w:tcW w:w="2127" w:type="dxa"/>
            <w:gridSpan w:val="8"/>
          </w:tcPr>
          <w:p w14:paraId="67B2BD87" w14:textId="77777777" w:rsidR="00A57797" w:rsidRPr="00A57797" w:rsidRDefault="00A57797" w:rsidP="00A5779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</w:pPr>
          </w:p>
        </w:tc>
      </w:tr>
      <w:tr w:rsidR="00A57797" w:rsidRPr="00A57797" w14:paraId="1FAB3C7B" w14:textId="77777777" w:rsidTr="001B242C">
        <w:trPr>
          <w:trHeight w:val="98"/>
        </w:trPr>
        <w:tc>
          <w:tcPr>
            <w:tcW w:w="2410" w:type="dxa"/>
            <w:gridSpan w:val="2"/>
          </w:tcPr>
          <w:p w14:paraId="44EA632D" w14:textId="77777777" w:rsidR="00A57797" w:rsidRPr="00A57797" w:rsidRDefault="00A57797" w:rsidP="00A57797">
            <w:pPr>
              <w:spacing w:after="0" w:line="240" w:lineRule="auto"/>
              <w:ind w:left="-30"/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  <w:t>Контактные телефоны</w:t>
            </w:r>
          </w:p>
        </w:tc>
        <w:tc>
          <w:tcPr>
            <w:tcW w:w="1276" w:type="dxa"/>
          </w:tcPr>
          <w:p w14:paraId="6EEB910F" w14:textId="77777777" w:rsidR="00A57797" w:rsidRPr="00A57797" w:rsidRDefault="00A57797" w:rsidP="00A5779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</w:pPr>
          </w:p>
        </w:tc>
        <w:tc>
          <w:tcPr>
            <w:tcW w:w="5386" w:type="dxa"/>
            <w:gridSpan w:val="8"/>
          </w:tcPr>
          <w:p w14:paraId="5E28D2E0" w14:textId="77777777" w:rsidR="00A57797" w:rsidRPr="00A57797" w:rsidRDefault="00A57797" w:rsidP="00A57797">
            <w:pPr>
              <w:spacing w:after="0" w:line="240" w:lineRule="auto"/>
              <w:ind w:left="-30"/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  <w:t>Номер мобильного телефона для получения СМС - уведомлений</w:t>
            </w:r>
          </w:p>
        </w:tc>
        <w:tc>
          <w:tcPr>
            <w:tcW w:w="2127" w:type="dxa"/>
            <w:gridSpan w:val="8"/>
          </w:tcPr>
          <w:p w14:paraId="5F2EC0E7" w14:textId="77777777" w:rsidR="00A57797" w:rsidRPr="00A57797" w:rsidRDefault="00A57797" w:rsidP="00A5779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</w:pPr>
          </w:p>
        </w:tc>
      </w:tr>
      <w:tr w:rsidR="00A57797" w:rsidRPr="00A57797" w14:paraId="14C29F2B" w14:textId="77777777" w:rsidTr="001B242C">
        <w:trPr>
          <w:trHeight w:val="100"/>
        </w:trPr>
        <w:tc>
          <w:tcPr>
            <w:tcW w:w="2410" w:type="dxa"/>
            <w:gridSpan w:val="2"/>
          </w:tcPr>
          <w:p w14:paraId="073BF701" w14:textId="77777777" w:rsidR="00A57797" w:rsidRPr="00A57797" w:rsidRDefault="00A57797" w:rsidP="00A57797">
            <w:pPr>
              <w:spacing w:after="0" w:line="240" w:lineRule="auto"/>
              <w:ind w:left="-30"/>
              <w:jc w:val="both"/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  <w:t>Электронная почта</w:t>
            </w:r>
          </w:p>
        </w:tc>
        <w:tc>
          <w:tcPr>
            <w:tcW w:w="8789" w:type="dxa"/>
            <w:gridSpan w:val="17"/>
          </w:tcPr>
          <w:p w14:paraId="227F9D4F" w14:textId="77777777" w:rsidR="00A57797" w:rsidRPr="00A57797" w:rsidRDefault="00A57797" w:rsidP="00A5779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</w:pPr>
          </w:p>
        </w:tc>
      </w:tr>
      <w:tr w:rsidR="00A57797" w:rsidRPr="00A57797" w14:paraId="3ABE63EC" w14:textId="77777777" w:rsidTr="001B242C">
        <w:trPr>
          <w:trHeight w:val="190"/>
        </w:trPr>
        <w:tc>
          <w:tcPr>
            <w:tcW w:w="2410" w:type="dxa"/>
            <w:gridSpan w:val="2"/>
          </w:tcPr>
          <w:p w14:paraId="0960E255" w14:textId="77777777" w:rsidR="00A57797" w:rsidRPr="00A57797" w:rsidRDefault="00A57797" w:rsidP="00A57797">
            <w:pPr>
              <w:spacing w:after="0" w:line="240" w:lineRule="auto"/>
              <w:ind w:left="-30"/>
              <w:jc w:val="both"/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  <w:t>Адрес для отправки корреспонденции</w:t>
            </w:r>
          </w:p>
        </w:tc>
        <w:tc>
          <w:tcPr>
            <w:tcW w:w="8789" w:type="dxa"/>
            <w:gridSpan w:val="17"/>
          </w:tcPr>
          <w:p w14:paraId="64D782B6" w14:textId="77777777" w:rsidR="00A57797" w:rsidRPr="00A57797" w:rsidRDefault="00A57797" w:rsidP="00A5779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</w:pPr>
          </w:p>
        </w:tc>
      </w:tr>
      <w:tr w:rsidR="00A57797" w:rsidRPr="00A57797" w14:paraId="4E9D36CB" w14:textId="77777777" w:rsidTr="001B242C">
        <w:trPr>
          <w:trHeight w:val="139"/>
        </w:trPr>
        <w:tc>
          <w:tcPr>
            <w:tcW w:w="5954" w:type="dxa"/>
            <w:gridSpan w:val="6"/>
            <w:tcBorders>
              <w:bottom w:val="single" w:sz="4" w:space="0" w:color="auto"/>
            </w:tcBorders>
          </w:tcPr>
          <w:p w14:paraId="350C2C7A" w14:textId="77777777" w:rsidR="00A57797" w:rsidRPr="00A57797" w:rsidRDefault="00A57797" w:rsidP="00A577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  <w:t>Заполняется, если заявление подписывается по доверенности</w:t>
            </w:r>
          </w:p>
        </w:tc>
        <w:tc>
          <w:tcPr>
            <w:tcW w:w="283" w:type="dxa"/>
            <w:vMerge w:val="restart"/>
            <w:tcBorders>
              <w:top w:val="nil"/>
            </w:tcBorders>
          </w:tcPr>
          <w:p w14:paraId="2F1312B2" w14:textId="77777777" w:rsidR="00A57797" w:rsidRPr="00A57797" w:rsidRDefault="00A57797" w:rsidP="00A577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sz w:val="12"/>
                <w:szCs w:val="12"/>
              </w:rPr>
            </w:pPr>
          </w:p>
        </w:tc>
        <w:tc>
          <w:tcPr>
            <w:tcW w:w="4962" w:type="dxa"/>
            <w:gridSpan w:val="12"/>
          </w:tcPr>
          <w:p w14:paraId="09C1105B" w14:textId="77777777" w:rsidR="00A57797" w:rsidRPr="00A57797" w:rsidRDefault="00A57797" w:rsidP="00A577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sz w:val="12"/>
                <w:szCs w:val="12"/>
              </w:rPr>
            </w:pPr>
            <w:r w:rsidRPr="00A57797">
              <w:rPr>
                <w:rFonts w:ascii="Calibri" w:eastAsia="Times New Roman" w:hAnsi="Calibri" w:cs="Calibri"/>
                <w:b/>
                <w:sz w:val="12"/>
                <w:szCs w:val="12"/>
              </w:rPr>
              <w:t>Заполняется ООО «</w:t>
            </w:r>
            <w:proofErr w:type="spellStart"/>
            <w:r w:rsidRPr="00A57797">
              <w:rPr>
                <w:rFonts w:ascii="Calibri" w:eastAsia="Times New Roman" w:hAnsi="Calibri" w:cs="Calibri"/>
                <w:b/>
                <w:sz w:val="12"/>
                <w:szCs w:val="12"/>
              </w:rPr>
              <w:t>Кадерус</w:t>
            </w:r>
            <w:proofErr w:type="spellEnd"/>
            <w:r w:rsidRPr="00A57797">
              <w:rPr>
                <w:rFonts w:ascii="Calibri" w:eastAsia="Times New Roman" w:hAnsi="Calibri" w:cs="Calibri"/>
                <w:b/>
                <w:sz w:val="12"/>
                <w:szCs w:val="12"/>
              </w:rPr>
              <w:t xml:space="preserve"> Брокер»</w:t>
            </w:r>
          </w:p>
        </w:tc>
      </w:tr>
      <w:tr w:rsidR="00A57797" w:rsidRPr="00A57797" w14:paraId="6BF1FE5B" w14:textId="77777777" w:rsidTr="001B242C">
        <w:trPr>
          <w:trHeight w:val="124"/>
        </w:trPr>
        <w:tc>
          <w:tcPr>
            <w:tcW w:w="1843" w:type="dxa"/>
            <w:tcBorders>
              <w:bottom w:val="single" w:sz="4" w:space="0" w:color="auto"/>
            </w:tcBorders>
          </w:tcPr>
          <w:p w14:paraId="004BEB62" w14:textId="77777777" w:rsidR="00A57797" w:rsidRPr="00A57797" w:rsidRDefault="00A57797" w:rsidP="00A57797">
            <w:pPr>
              <w:tabs>
                <w:tab w:val="left" w:pos="312"/>
              </w:tabs>
              <w:spacing w:after="0" w:line="240" w:lineRule="auto"/>
              <w:ind w:right="-108"/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  <w:t>№ доверенности</w:t>
            </w: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</w:tcPr>
          <w:p w14:paraId="7B91B5B6" w14:textId="77777777" w:rsidR="00A57797" w:rsidRPr="00A57797" w:rsidRDefault="00A57797" w:rsidP="00A57797">
            <w:pPr>
              <w:tabs>
                <w:tab w:val="left" w:pos="312"/>
              </w:tabs>
              <w:spacing w:after="0" w:line="240" w:lineRule="auto"/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1FF50048" w14:textId="77777777" w:rsidR="00A57797" w:rsidRPr="00A57797" w:rsidRDefault="00A57797" w:rsidP="00A57797">
            <w:pPr>
              <w:spacing w:after="0" w:line="240" w:lineRule="auto"/>
              <w:ind w:left="-92" w:right="-63"/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  <w:t>Дата выдачи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5188115" w14:textId="77777777" w:rsidR="00A57797" w:rsidRPr="00A57797" w:rsidRDefault="00A57797" w:rsidP="00A57797">
            <w:pPr>
              <w:tabs>
                <w:tab w:val="left" w:pos="312"/>
              </w:tabs>
              <w:spacing w:after="0" w:line="240" w:lineRule="auto"/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</w:pPr>
          </w:p>
        </w:tc>
        <w:tc>
          <w:tcPr>
            <w:tcW w:w="283" w:type="dxa"/>
            <w:vMerge/>
          </w:tcPr>
          <w:p w14:paraId="681CBB93" w14:textId="77777777" w:rsidR="00A57797" w:rsidRPr="00A57797" w:rsidRDefault="00A57797" w:rsidP="00A57797">
            <w:pPr>
              <w:spacing w:after="0" w:line="240" w:lineRule="auto"/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</w:pPr>
          </w:p>
        </w:tc>
        <w:tc>
          <w:tcPr>
            <w:tcW w:w="2694" w:type="dxa"/>
            <w:gridSpan w:val="3"/>
            <w:vMerge w:val="restart"/>
          </w:tcPr>
          <w:p w14:paraId="3154D20A" w14:textId="77777777" w:rsidR="00A57797" w:rsidRPr="00A57797" w:rsidRDefault="00A57797" w:rsidP="00A577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sz w:val="12"/>
                <w:szCs w:val="12"/>
              </w:rPr>
            </w:pPr>
            <w:r w:rsidRPr="00A57797">
              <w:rPr>
                <w:rFonts w:ascii="Calibri" w:eastAsia="Times New Roman" w:hAnsi="Calibri" w:cs="Calibri"/>
                <w:b/>
                <w:sz w:val="12"/>
                <w:szCs w:val="12"/>
              </w:rPr>
              <w:t>№ / код брокерского договора (брокерского счета)/ депозитарного договора для брокерского счета/соглашения об ЭДО/Договора об учете ИФИ (счета)</w:t>
            </w:r>
          </w:p>
        </w:tc>
        <w:tc>
          <w:tcPr>
            <w:tcW w:w="283" w:type="dxa"/>
            <w:gridSpan w:val="2"/>
            <w:vMerge w:val="restart"/>
          </w:tcPr>
          <w:p w14:paraId="1E0AA918" w14:textId="77777777" w:rsidR="00A57797" w:rsidRPr="00A57797" w:rsidRDefault="00A57797" w:rsidP="00A577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sz w:val="4"/>
                <w:szCs w:val="4"/>
              </w:rPr>
            </w:pPr>
          </w:p>
        </w:tc>
        <w:tc>
          <w:tcPr>
            <w:tcW w:w="284" w:type="dxa"/>
            <w:vMerge w:val="restart"/>
          </w:tcPr>
          <w:p w14:paraId="1A05C0EF" w14:textId="77777777" w:rsidR="00A57797" w:rsidRPr="00A57797" w:rsidRDefault="00A57797" w:rsidP="00A577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sz w:val="4"/>
                <w:szCs w:val="4"/>
              </w:rPr>
            </w:pPr>
          </w:p>
        </w:tc>
        <w:tc>
          <w:tcPr>
            <w:tcW w:w="283" w:type="dxa"/>
            <w:vMerge w:val="restart"/>
          </w:tcPr>
          <w:p w14:paraId="69C741AD" w14:textId="77777777" w:rsidR="00A57797" w:rsidRPr="00A57797" w:rsidRDefault="00A57797" w:rsidP="00A577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sz w:val="4"/>
                <w:szCs w:val="4"/>
              </w:rPr>
            </w:pPr>
          </w:p>
        </w:tc>
        <w:tc>
          <w:tcPr>
            <w:tcW w:w="284" w:type="dxa"/>
            <w:vMerge w:val="restart"/>
          </w:tcPr>
          <w:p w14:paraId="1C2F742C" w14:textId="77777777" w:rsidR="00A57797" w:rsidRPr="00A57797" w:rsidRDefault="00A57797" w:rsidP="00A577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sz w:val="4"/>
                <w:szCs w:val="4"/>
              </w:rPr>
            </w:pPr>
          </w:p>
        </w:tc>
        <w:tc>
          <w:tcPr>
            <w:tcW w:w="283" w:type="dxa"/>
            <w:vMerge w:val="restart"/>
          </w:tcPr>
          <w:p w14:paraId="63888C28" w14:textId="77777777" w:rsidR="00A57797" w:rsidRPr="00A57797" w:rsidRDefault="00A57797" w:rsidP="00A577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sz w:val="4"/>
                <w:szCs w:val="4"/>
              </w:rPr>
            </w:pPr>
          </w:p>
        </w:tc>
        <w:tc>
          <w:tcPr>
            <w:tcW w:w="284" w:type="dxa"/>
            <w:vMerge w:val="restart"/>
          </w:tcPr>
          <w:p w14:paraId="0875C203" w14:textId="77777777" w:rsidR="00A57797" w:rsidRPr="00A57797" w:rsidRDefault="00A57797" w:rsidP="00A577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sz w:val="4"/>
                <w:szCs w:val="4"/>
              </w:rPr>
            </w:pPr>
          </w:p>
        </w:tc>
        <w:tc>
          <w:tcPr>
            <w:tcW w:w="283" w:type="dxa"/>
            <w:vMerge w:val="restart"/>
          </w:tcPr>
          <w:p w14:paraId="28A09AA6" w14:textId="77777777" w:rsidR="00A57797" w:rsidRPr="00A57797" w:rsidRDefault="00A57797" w:rsidP="00A577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sz w:val="4"/>
                <w:szCs w:val="4"/>
              </w:rPr>
            </w:pPr>
          </w:p>
        </w:tc>
        <w:tc>
          <w:tcPr>
            <w:tcW w:w="284" w:type="dxa"/>
            <w:vMerge w:val="restart"/>
          </w:tcPr>
          <w:p w14:paraId="34599691" w14:textId="77777777" w:rsidR="00A57797" w:rsidRPr="00A57797" w:rsidRDefault="00A57797" w:rsidP="00A577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sz w:val="4"/>
                <w:szCs w:val="4"/>
              </w:rPr>
            </w:pPr>
          </w:p>
        </w:tc>
      </w:tr>
      <w:tr w:rsidR="00A57797" w:rsidRPr="00A57797" w14:paraId="661E6DCA" w14:textId="77777777" w:rsidTr="001B242C">
        <w:trPr>
          <w:trHeight w:val="123"/>
        </w:trPr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DB7E66A" w14:textId="77777777" w:rsidR="00A57797" w:rsidRPr="00A57797" w:rsidRDefault="00A57797" w:rsidP="00A57797">
            <w:pPr>
              <w:tabs>
                <w:tab w:val="left" w:pos="312"/>
              </w:tabs>
              <w:spacing w:after="0" w:line="240" w:lineRule="auto"/>
              <w:ind w:right="-108"/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0F4600" w14:textId="77777777" w:rsidR="00A57797" w:rsidRPr="00A57797" w:rsidRDefault="00A57797" w:rsidP="00A57797">
            <w:pPr>
              <w:tabs>
                <w:tab w:val="left" w:pos="312"/>
              </w:tabs>
              <w:spacing w:after="0" w:line="240" w:lineRule="auto"/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FD5182" w14:textId="77777777" w:rsidR="00A57797" w:rsidRPr="00A57797" w:rsidRDefault="00A57797" w:rsidP="00A57797">
            <w:pPr>
              <w:spacing w:after="0" w:line="240" w:lineRule="auto"/>
              <w:ind w:left="-92" w:right="-63"/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2CA419" w14:textId="77777777" w:rsidR="00A57797" w:rsidRPr="00A57797" w:rsidRDefault="00A57797" w:rsidP="00A57797">
            <w:pPr>
              <w:tabs>
                <w:tab w:val="left" w:pos="312"/>
              </w:tabs>
              <w:spacing w:after="0" w:line="240" w:lineRule="auto"/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</w:pPr>
          </w:p>
        </w:tc>
        <w:tc>
          <w:tcPr>
            <w:tcW w:w="283" w:type="dxa"/>
            <w:vMerge/>
            <w:tcBorders>
              <w:left w:val="nil"/>
            </w:tcBorders>
          </w:tcPr>
          <w:p w14:paraId="1BA00B95" w14:textId="77777777" w:rsidR="00A57797" w:rsidRPr="00A57797" w:rsidRDefault="00A57797" w:rsidP="00A57797">
            <w:pPr>
              <w:spacing w:after="0" w:line="240" w:lineRule="auto"/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</w:pPr>
          </w:p>
        </w:tc>
        <w:tc>
          <w:tcPr>
            <w:tcW w:w="2694" w:type="dxa"/>
            <w:gridSpan w:val="3"/>
            <w:vMerge/>
          </w:tcPr>
          <w:p w14:paraId="65E904F4" w14:textId="77777777" w:rsidR="00A57797" w:rsidRPr="00A57797" w:rsidRDefault="00A57797" w:rsidP="00A577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sz w:val="12"/>
                <w:szCs w:val="12"/>
              </w:rPr>
            </w:pPr>
          </w:p>
        </w:tc>
        <w:tc>
          <w:tcPr>
            <w:tcW w:w="283" w:type="dxa"/>
            <w:gridSpan w:val="2"/>
            <w:vMerge/>
          </w:tcPr>
          <w:p w14:paraId="376FFCD4" w14:textId="77777777" w:rsidR="00A57797" w:rsidRPr="00A57797" w:rsidRDefault="00A57797" w:rsidP="00A577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sz w:val="4"/>
                <w:szCs w:val="4"/>
              </w:rPr>
            </w:pPr>
          </w:p>
        </w:tc>
        <w:tc>
          <w:tcPr>
            <w:tcW w:w="284" w:type="dxa"/>
            <w:vMerge/>
          </w:tcPr>
          <w:p w14:paraId="5E4311FA" w14:textId="77777777" w:rsidR="00A57797" w:rsidRPr="00A57797" w:rsidRDefault="00A57797" w:rsidP="00A577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sz w:val="4"/>
                <w:szCs w:val="4"/>
              </w:rPr>
            </w:pPr>
          </w:p>
        </w:tc>
        <w:tc>
          <w:tcPr>
            <w:tcW w:w="283" w:type="dxa"/>
            <w:vMerge/>
          </w:tcPr>
          <w:p w14:paraId="4E15902B" w14:textId="77777777" w:rsidR="00A57797" w:rsidRPr="00A57797" w:rsidRDefault="00A57797" w:rsidP="00A577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sz w:val="4"/>
                <w:szCs w:val="4"/>
              </w:rPr>
            </w:pPr>
          </w:p>
        </w:tc>
        <w:tc>
          <w:tcPr>
            <w:tcW w:w="284" w:type="dxa"/>
            <w:vMerge/>
          </w:tcPr>
          <w:p w14:paraId="2C488E20" w14:textId="77777777" w:rsidR="00A57797" w:rsidRPr="00A57797" w:rsidRDefault="00A57797" w:rsidP="00A577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sz w:val="4"/>
                <w:szCs w:val="4"/>
              </w:rPr>
            </w:pPr>
          </w:p>
        </w:tc>
        <w:tc>
          <w:tcPr>
            <w:tcW w:w="283" w:type="dxa"/>
            <w:vMerge/>
          </w:tcPr>
          <w:p w14:paraId="7681268E" w14:textId="77777777" w:rsidR="00A57797" w:rsidRPr="00A57797" w:rsidRDefault="00A57797" w:rsidP="00A577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sz w:val="4"/>
                <w:szCs w:val="4"/>
              </w:rPr>
            </w:pPr>
          </w:p>
        </w:tc>
        <w:tc>
          <w:tcPr>
            <w:tcW w:w="284" w:type="dxa"/>
            <w:vMerge/>
          </w:tcPr>
          <w:p w14:paraId="53B119FC" w14:textId="77777777" w:rsidR="00A57797" w:rsidRPr="00A57797" w:rsidRDefault="00A57797" w:rsidP="00A577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sz w:val="4"/>
                <w:szCs w:val="4"/>
              </w:rPr>
            </w:pPr>
          </w:p>
        </w:tc>
        <w:tc>
          <w:tcPr>
            <w:tcW w:w="283" w:type="dxa"/>
            <w:vMerge/>
          </w:tcPr>
          <w:p w14:paraId="4C3EB0E3" w14:textId="77777777" w:rsidR="00A57797" w:rsidRPr="00A57797" w:rsidRDefault="00A57797" w:rsidP="00A577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sz w:val="4"/>
                <w:szCs w:val="4"/>
              </w:rPr>
            </w:pPr>
          </w:p>
        </w:tc>
        <w:tc>
          <w:tcPr>
            <w:tcW w:w="284" w:type="dxa"/>
            <w:vMerge/>
          </w:tcPr>
          <w:p w14:paraId="1C14D43A" w14:textId="77777777" w:rsidR="00A57797" w:rsidRPr="00A57797" w:rsidRDefault="00A57797" w:rsidP="00A577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sz w:val="4"/>
                <w:szCs w:val="4"/>
              </w:rPr>
            </w:pPr>
          </w:p>
        </w:tc>
      </w:tr>
      <w:tr w:rsidR="00A57797" w:rsidRPr="00A57797" w14:paraId="146FE3BE" w14:textId="77777777" w:rsidTr="001B242C">
        <w:trPr>
          <w:trHeight w:val="689"/>
        </w:trPr>
        <w:tc>
          <w:tcPr>
            <w:tcW w:w="4111" w:type="dxa"/>
            <w:gridSpan w:val="4"/>
            <w:vMerge w:val="restart"/>
            <w:tcBorders>
              <w:top w:val="single" w:sz="4" w:space="0" w:color="auto"/>
            </w:tcBorders>
          </w:tcPr>
          <w:p w14:paraId="3866CB7B" w14:textId="77777777" w:rsidR="00A57797" w:rsidRPr="00A57797" w:rsidRDefault="00A57797" w:rsidP="00A57797">
            <w:pPr>
              <w:tabs>
                <w:tab w:val="left" w:pos="312"/>
              </w:tabs>
              <w:spacing w:after="0" w:line="240" w:lineRule="auto"/>
              <w:ind w:right="-108"/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  <w:t>Заполняется прописью, без сокращений, клиентом или представителем клиента:</w:t>
            </w:r>
          </w:p>
          <w:p w14:paraId="5A98F324" w14:textId="77777777" w:rsidR="00A57797" w:rsidRPr="00A57797" w:rsidRDefault="00A57797" w:rsidP="00A57797">
            <w:pPr>
              <w:tabs>
                <w:tab w:val="left" w:pos="-43"/>
              </w:tabs>
              <w:spacing w:after="0" w:line="240" w:lineRule="auto"/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  <w:t>________________________________________</w:t>
            </w:r>
          </w:p>
          <w:p w14:paraId="38B49487" w14:textId="77777777" w:rsidR="00A57797" w:rsidRPr="00A57797" w:rsidRDefault="00A57797" w:rsidP="00A57797">
            <w:pPr>
              <w:tabs>
                <w:tab w:val="left" w:pos="-43"/>
              </w:tabs>
              <w:spacing w:after="0" w:line="240" w:lineRule="auto"/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  <w:t>фамилия</w:t>
            </w:r>
          </w:p>
          <w:p w14:paraId="02B2E0D4" w14:textId="77777777" w:rsidR="00A57797" w:rsidRPr="00A57797" w:rsidRDefault="00A57797" w:rsidP="00A57797">
            <w:pPr>
              <w:tabs>
                <w:tab w:val="left" w:pos="-43"/>
              </w:tabs>
              <w:spacing w:after="0" w:line="240" w:lineRule="auto"/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  <w:t>________________________________________</w:t>
            </w:r>
          </w:p>
          <w:p w14:paraId="2367DA11" w14:textId="77777777" w:rsidR="00A57797" w:rsidRPr="00A57797" w:rsidRDefault="00A57797" w:rsidP="00A57797">
            <w:pPr>
              <w:tabs>
                <w:tab w:val="left" w:pos="-43"/>
              </w:tabs>
              <w:spacing w:after="0" w:line="240" w:lineRule="auto"/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  <w:t>имя</w:t>
            </w:r>
          </w:p>
          <w:p w14:paraId="622588BB" w14:textId="77777777" w:rsidR="00A57797" w:rsidRPr="00A57797" w:rsidRDefault="00A57797" w:rsidP="00A57797">
            <w:pPr>
              <w:tabs>
                <w:tab w:val="left" w:pos="-43"/>
              </w:tabs>
              <w:spacing w:after="0" w:line="240" w:lineRule="auto"/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  <w:t>________________________________________</w:t>
            </w:r>
          </w:p>
          <w:p w14:paraId="54FB5482" w14:textId="77777777" w:rsidR="00A57797" w:rsidRPr="00A57797" w:rsidRDefault="00A57797" w:rsidP="00A57797">
            <w:pPr>
              <w:tabs>
                <w:tab w:val="left" w:pos="-43"/>
              </w:tabs>
              <w:spacing w:after="0" w:line="240" w:lineRule="auto"/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  <w:t>отчество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</w:tcBorders>
          </w:tcPr>
          <w:p w14:paraId="48E5F29E" w14:textId="77777777" w:rsidR="00A57797" w:rsidRPr="00A57797" w:rsidRDefault="00A57797" w:rsidP="00A57797">
            <w:pPr>
              <w:tabs>
                <w:tab w:val="left" w:pos="-43"/>
              </w:tabs>
              <w:spacing w:after="0" w:line="240" w:lineRule="auto"/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</w:pPr>
          </w:p>
          <w:p w14:paraId="389966C0" w14:textId="77777777" w:rsidR="00A57797" w:rsidRPr="00A57797" w:rsidRDefault="00A57797" w:rsidP="00A57797">
            <w:pPr>
              <w:tabs>
                <w:tab w:val="left" w:pos="-43"/>
              </w:tabs>
              <w:spacing w:after="0" w:line="240" w:lineRule="auto"/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</w:pPr>
          </w:p>
          <w:p w14:paraId="700794EF" w14:textId="77777777" w:rsidR="00A57797" w:rsidRPr="00A57797" w:rsidRDefault="00A57797" w:rsidP="00A57797">
            <w:pPr>
              <w:tabs>
                <w:tab w:val="left" w:pos="-43"/>
              </w:tabs>
              <w:spacing w:after="0" w:line="240" w:lineRule="auto"/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</w:pPr>
          </w:p>
          <w:p w14:paraId="6DE99613" w14:textId="77777777" w:rsidR="00A57797" w:rsidRPr="00A57797" w:rsidRDefault="00A57797" w:rsidP="00A57797">
            <w:pPr>
              <w:tabs>
                <w:tab w:val="left" w:pos="-43"/>
              </w:tabs>
              <w:spacing w:after="0" w:line="240" w:lineRule="auto"/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</w:pPr>
          </w:p>
          <w:p w14:paraId="352F3D7B" w14:textId="77777777" w:rsidR="00A57797" w:rsidRPr="00A57797" w:rsidRDefault="00A57797" w:rsidP="00A57797">
            <w:pPr>
              <w:tabs>
                <w:tab w:val="left" w:pos="-43"/>
              </w:tabs>
              <w:spacing w:after="0" w:line="240" w:lineRule="auto"/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</w:pPr>
          </w:p>
          <w:p w14:paraId="705664C8" w14:textId="77777777" w:rsidR="00A57797" w:rsidRPr="00A57797" w:rsidRDefault="00A57797" w:rsidP="00A57797">
            <w:pPr>
              <w:tabs>
                <w:tab w:val="left" w:pos="-43"/>
              </w:tabs>
              <w:spacing w:after="0" w:line="240" w:lineRule="auto"/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___________________________</w:t>
            </w:r>
          </w:p>
          <w:p w14:paraId="3D654956" w14:textId="77777777" w:rsidR="00A57797" w:rsidRPr="00A57797" w:rsidRDefault="00A57797" w:rsidP="00A57797">
            <w:pPr>
              <w:tabs>
                <w:tab w:val="left" w:pos="-43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  <w:t>подпись</w:t>
            </w:r>
          </w:p>
        </w:tc>
        <w:tc>
          <w:tcPr>
            <w:tcW w:w="283" w:type="dxa"/>
            <w:vMerge/>
          </w:tcPr>
          <w:p w14:paraId="71BB4BAB" w14:textId="77777777" w:rsidR="00A57797" w:rsidRPr="00A57797" w:rsidRDefault="00A57797" w:rsidP="00A57797">
            <w:pPr>
              <w:spacing w:after="0" w:line="240" w:lineRule="auto"/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</w:pPr>
          </w:p>
        </w:tc>
        <w:tc>
          <w:tcPr>
            <w:tcW w:w="2694" w:type="dxa"/>
            <w:gridSpan w:val="3"/>
            <w:vMerge/>
          </w:tcPr>
          <w:p w14:paraId="3952E0BF" w14:textId="77777777" w:rsidR="00A57797" w:rsidRPr="00A57797" w:rsidRDefault="00A57797" w:rsidP="00A577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sz w:val="12"/>
                <w:szCs w:val="12"/>
              </w:rPr>
            </w:pPr>
          </w:p>
        </w:tc>
        <w:tc>
          <w:tcPr>
            <w:tcW w:w="283" w:type="dxa"/>
            <w:gridSpan w:val="2"/>
            <w:vMerge/>
          </w:tcPr>
          <w:p w14:paraId="3B84E284" w14:textId="77777777" w:rsidR="00A57797" w:rsidRPr="00A57797" w:rsidRDefault="00A57797" w:rsidP="00A577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sz w:val="4"/>
                <w:szCs w:val="4"/>
              </w:rPr>
            </w:pPr>
          </w:p>
        </w:tc>
        <w:tc>
          <w:tcPr>
            <w:tcW w:w="284" w:type="dxa"/>
            <w:vMerge/>
          </w:tcPr>
          <w:p w14:paraId="73F2C7B4" w14:textId="77777777" w:rsidR="00A57797" w:rsidRPr="00A57797" w:rsidRDefault="00A57797" w:rsidP="00A577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sz w:val="4"/>
                <w:szCs w:val="4"/>
              </w:rPr>
            </w:pPr>
          </w:p>
        </w:tc>
        <w:tc>
          <w:tcPr>
            <w:tcW w:w="283" w:type="dxa"/>
            <w:vMerge/>
          </w:tcPr>
          <w:p w14:paraId="43E437DB" w14:textId="77777777" w:rsidR="00A57797" w:rsidRPr="00A57797" w:rsidRDefault="00A57797" w:rsidP="00A577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sz w:val="4"/>
                <w:szCs w:val="4"/>
              </w:rPr>
            </w:pPr>
          </w:p>
        </w:tc>
        <w:tc>
          <w:tcPr>
            <w:tcW w:w="284" w:type="dxa"/>
            <w:vMerge/>
          </w:tcPr>
          <w:p w14:paraId="253FA2F4" w14:textId="77777777" w:rsidR="00A57797" w:rsidRPr="00A57797" w:rsidRDefault="00A57797" w:rsidP="00A577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sz w:val="4"/>
                <w:szCs w:val="4"/>
              </w:rPr>
            </w:pPr>
          </w:p>
        </w:tc>
        <w:tc>
          <w:tcPr>
            <w:tcW w:w="283" w:type="dxa"/>
            <w:vMerge/>
          </w:tcPr>
          <w:p w14:paraId="155B2EAE" w14:textId="77777777" w:rsidR="00A57797" w:rsidRPr="00A57797" w:rsidRDefault="00A57797" w:rsidP="00A577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sz w:val="4"/>
                <w:szCs w:val="4"/>
              </w:rPr>
            </w:pPr>
          </w:p>
        </w:tc>
        <w:tc>
          <w:tcPr>
            <w:tcW w:w="284" w:type="dxa"/>
            <w:vMerge/>
          </w:tcPr>
          <w:p w14:paraId="661A79FD" w14:textId="77777777" w:rsidR="00A57797" w:rsidRPr="00A57797" w:rsidRDefault="00A57797" w:rsidP="00A577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sz w:val="4"/>
                <w:szCs w:val="4"/>
              </w:rPr>
            </w:pPr>
          </w:p>
        </w:tc>
        <w:tc>
          <w:tcPr>
            <w:tcW w:w="283" w:type="dxa"/>
            <w:vMerge/>
          </w:tcPr>
          <w:p w14:paraId="20C6C244" w14:textId="77777777" w:rsidR="00A57797" w:rsidRPr="00A57797" w:rsidRDefault="00A57797" w:rsidP="00A577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sz w:val="4"/>
                <w:szCs w:val="4"/>
              </w:rPr>
            </w:pPr>
          </w:p>
        </w:tc>
        <w:tc>
          <w:tcPr>
            <w:tcW w:w="284" w:type="dxa"/>
            <w:vMerge/>
          </w:tcPr>
          <w:p w14:paraId="04177F00" w14:textId="77777777" w:rsidR="00A57797" w:rsidRPr="00A57797" w:rsidRDefault="00A57797" w:rsidP="00A577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sz w:val="4"/>
                <w:szCs w:val="4"/>
              </w:rPr>
            </w:pPr>
          </w:p>
        </w:tc>
      </w:tr>
      <w:tr w:rsidR="00A57797" w:rsidRPr="00A57797" w14:paraId="6E4F03C6" w14:textId="77777777" w:rsidTr="001B242C">
        <w:trPr>
          <w:trHeight w:val="412"/>
        </w:trPr>
        <w:tc>
          <w:tcPr>
            <w:tcW w:w="4111" w:type="dxa"/>
            <w:gridSpan w:val="4"/>
            <w:vMerge/>
          </w:tcPr>
          <w:p w14:paraId="2380A11B" w14:textId="77777777" w:rsidR="00A57797" w:rsidRPr="00A57797" w:rsidRDefault="00A57797" w:rsidP="00A57797">
            <w:pPr>
              <w:tabs>
                <w:tab w:val="left" w:pos="0"/>
              </w:tabs>
              <w:spacing w:after="0" w:line="240" w:lineRule="auto"/>
              <w:ind w:firstLine="906"/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14:paraId="18B13B50" w14:textId="77777777" w:rsidR="00A57797" w:rsidRPr="00A57797" w:rsidRDefault="00A57797" w:rsidP="00A57797">
            <w:pPr>
              <w:tabs>
                <w:tab w:val="left" w:pos="-43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</w:pPr>
          </w:p>
        </w:tc>
        <w:tc>
          <w:tcPr>
            <w:tcW w:w="283" w:type="dxa"/>
            <w:vMerge/>
            <w:tcBorders>
              <w:bottom w:val="single" w:sz="4" w:space="0" w:color="auto"/>
            </w:tcBorders>
          </w:tcPr>
          <w:p w14:paraId="623D2FDF" w14:textId="77777777" w:rsidR="00A57797" w:rsidRPr="00A57797" w:rsidRDefault="00A57797" w:rsidP="00A57797">
            <w:pPr>
              <w:spacing w:after="0" w:line="240" w:lineRule="auto"/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</w:pPr>
          </w:p>
        </w:tc>
        <w:tc>
          <w:tcPr>
            <w:tcW w:w="2694" w:type="dxa"/>
            <w:gridSpan w:val="3"/>
          </w:tcPr>
          <w:p w14:paraId="6062669C" w14:textId="77777777" w:rsidR="00A57797" w:rsidRPr="00A57797" w:rsidRDefault="00A57797" w:rsidP="00A57797">
            <w:pPr>
              <w:spacing w:after="0" w:line="240" w:lineRule="auto"/>
              <w:ind w:left="-39" w:right="-30"/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</w:pPr>
          </w:p>
        </w:tc>
        <w:tc>
          <w:tcPr>
            <w:tcW w:w="283" w:type="dxa"/>
            <w:gridSpan w:val="2"/>
          </w:tcPr>
          <w:p w14:paraId="3A075E64" w14:textId="77777777" w:rsidR="00A57797" w:rsidRPr="00A57797" w:rsidRDefault="00A57797" w:rsidP="00A577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sz w:val="4"/>
                <w:szCs w:val="4"/>
              </w:rPr>
            </w:pPr>
          </w:p>
        </w:tc>
        <w:tc>
          <w:tcPr>
            <w:tcW w:w="284" w:type="dxa"/>
          </w:tcPr>
          <w:p w14:paraId="47BCF580" w14:textId="77777777" w:rsidR="00A57797" w:rsidRPr="00A57797" w:rsidRDefault="00A57797" w:rsidP="00A577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sz w:val="4"/>
                <w:szCs w:val="4"/>
              </w:rPr>
            </w:pPr>
          </w:p>
        </w:tc>
        <w:tc>
          <w:tcPr>
            <w:tcW w:w="283" w:type="dxa"/>
          </w:tcPr>
          <w:p w14:paraId="3722FACE" w14:textId="77777777" w:rsidR="00A57797" w:rsidRPr="00A57797" w:rsidRDefault="00A57797" w:rsidP="00A577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sz w:val="4"/>
                <w:szCs w:val="4"/>
              </w:rPr>
            </w:pPr>
          </w:p>
        </w:tc>
        <w:tc>
          <w:tcPr>
            <w:tcW w:w="284" w:type="dxa"/>
          </w:tcPr>
          <w:p w14:paraId="53FC795E" w14:textId="77777777" w:rsidR="00A57797" w:rsidRPr="00A57797" w:rsidRDefault="00A57797" w:rsidP="00A577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sz w:val="4"/>
                <w:szCs w:val="4"/>
              </w:rPr>
            </w:pPr>
          </w:p>
        </w:tc>
        <w:tc>
          <w:tcPr>
            <w:tcW w:w="283" w:type="dxa"/>
          </w:tcPr>
          <w:p w14:paraId="17C8DE66" w14:textId="77777777" w:rsidR="00A57797" w:rsidRPr="00A57797" w:rsidRDefault="00A57797" w:rsidP="00A577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sz w:val="4"/>
                <w:szCs w:val="4"/>
              </w:rPr>
            </w:pPr>
          </w:p>
        </w:tc>
        <w:tc>
          <w:tcPr>
            <w:tcW w:w="284" w:type="dxa"/>
          </w:tcPr>
          <w:p w14:paraId="10089AF7" w14:textId="77777777" w:rsidR="00A57797" w:rsidRPr="00A57797" w:rsidRDefault="00A57797" w:rsidP="00A577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sz w:val="4"/>
                <w:szCs w:val="4"/>
              </w:rPr>
            </w:pPr>
          </w:p>
        </w:tc>
        <w:tc>
          <w:tcPr>
            <w:tcW w:w="283" w:type="dxa"/>
          </w:tcPr>
          <w:p w14:paraId="352DBA24" w14:textId="77777777" w:rsidR="00A57797" w:rsidRPr="00A57797" w:rsidRDefault="00A57797" w:rsidP="00A577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sz w:val="4"/>
                <w:szCs w:val="4"/>
              </w:rPr>
            </w:pPr>
          </w:p>
        </w:tc>
        <w:tc>
          <w:tcPr>
            <w:tcW w:w="284" w:type="dxa"/>
          </w:tcPr>
          <w:p w14:paraId="364ACAB3" w14:textId="77777777" w:rsidR="00A57797" w:rsidRPr="00A57797" w:rsidRDefault="00A57797" w:rsidP="00A577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sz w:val="4"/>
                <w:szCs w:val="4"/>
              </w:rPr>
            </w:pPr>
          </w:p>
        </w:tc>
      </w:tr>
      <w:tr w:rsidR="00A57797" w:rsidRPr="00A57797" w14:paraId="10C55E97" w14:textId="77777777" w:rsidTr="001B242C">
        <w:trPr>
          <w:trHeight w:val="142"/>
        </w:trPr>
        <w:tc>
          <w:tcPr>
            <w:tcW w:w="4111" w:type="dxa"/>
            <w:gridSpan w:val="4"/>
          </w:tcPr>
          <w:p w14:paraId="6850BF75" w14:textId="77777777" w:rsidR="00A57797" w:rsidRPr="00A57797" w:rsidRDefault="00A57797" w:rsidP="00A57797">
            <w:pPr>
              <w:tabs>
                <w:tab w:val="left" w:pos="312"/>
              </w:tabs>
              <w:spacing w:after="0" w:line="240" w:lineRule="auto"/>
              <w:ind w:right="-108"/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  <w:t>Дата заявления</w:t>
            </w:r>
          </w:p>
        </w:tc>
        <w:tc>
          <w:tcPr>
            <w:tcW w:w="1843" w:type="dxa"/>
            <w:gridSpan w:val="2"/>
          </w:tcPr>
          <w:p w14:paraId="7CCDE782" w14:textId="77777777" w:rsidR="00A57797" w:rsidRPr="00A57797" w:rsidRDefault="00A57797" w:rsidP="00A57797">
            <w:pPr>
              <w:tabs>
                <w:tab w:val="left" w:pos="673"/>
              </w:tabs>
              <w:spacing w:after="0" w:line="240" w:lineRule="auto"/>
              <w:ind w:left="673"/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</w:pPr>
          </w:p>
        </w:tc>
        <w:tc>
          <w:tcPr>
            <w:tcW w:w="283" w:type="dxa"/>
            <w:vMerge/>
          </w:tcPr>
          <w:p w14:paraId="023757AC" w14:textId="77777777" w:rsidR="00A57797" w:rsidRPr="00A57797" w:rsidRDefault="00A57797" w:rsidP="00A57797">
            <w:pPr>
              <w:spacing w:after="0" w:line="240" w:lineRule="auto"/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</w:pPr>
          </w:p>
        </w:tc>
        <w:tc>
          <w:tcPr>
            <w:tcW w:w="2694" w:type="dxa"/>
            <w:gridSpan w:val="3"/>
          </w:tcPr>
          <w:p w14:paraId="202B1543" w14:textId="77777777" w:rsidR="00A57797" w:rsidRPr="00A57797" w:rsidRDefault="00A57797" w:rsidP="00A57797">
            <w:pPr>
              <w:spacing w:after="0" w:line="240" w:lineRule="auto"/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  <w:t>Дата заключения договоров</w:t>
            </w:r>
          </w:p>
        </w:tc>
        <w:tc>
          <w:tcPr>
            <w:tcW w:w="2268" w:type="dxa"/>
            <w:gridSpan w:val="9"/>
          </w:tcPr>
          <w:p w14:paraId="2FDB7286" w14:textId="77777777" w:rsidR="00A57797" w:rsidRPr="00A57797" w:rsidRDefault="00A57797" w:rsidP="00A57797">
            <w:pPr>
              <w:spacing w:after="0" w:line="240" w:lineRule="auto"/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</w:pPr>
          </w:p>
        </w:tc>
      </w:tr>
    </w:tbl>
    <w:p w14:paraId="7ECA8D82" w14:textId="77777777" w:rsidR="00A57797" w:rsidRPr="00A57797" w:rsidRDefault="00A57797" w:rsidP="00A57797">
      <w:pPr>
        <w:spacing w:after="0" w:line="240" w:lineRule="auto"/>
        <w:rPr>
          <w:rFonts w:ascii="Calibri" w:eastAsia="Times New Roman" w:hAnsi="Calibri" w:cs="Calibri"/>
          <w:i/>
          <w:sz w:val="4"/>
          <w:szCs w:val="4"/>
          <w:lang w:eastAsia="ru-RU"/>
        </w:rPr>
      </w:pPr>
    </w:p>
    <w:p w14:paraId="3BA3BF72" w14:textId="77777777" w:rsidR="00A57797" w:rsidRPr="00A57797" w:rsidRDefault="00A57797" w:rsidP="00A577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Calibri"/>
          <w:i/>
          <w:sz w:val="4"/>
          <w:szCs w:val="4"/>
        </w:rPr>
      </w:pPr>
      <w:r w:rsidRPr="00A57797">
        <w:rPr>
          <w:rFonts w:ascii="Calibri" w:eastAsia="Times New Roman" w:hAnsi="Calibri" w:cs="Calibri"/>
          <w:i/>
          <w:sz w:val="4"/>
          <w:szCs w:val="4"/>
        </w:rPr>
        <w:br w:type="page"/>
      </w:r>
    </w:p>
    <w:p w14:paraId="13F43EC6" w14:textId="77777777" w:rsidR="00A57797" w:rsidRPr="00A57797" w:rsidRDefault="00A57797" w:rsidP="00A577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Calibri"/>
          <w:i/>
          <w:sz w:val="4"/>
          <w:szCs w:val="4"/>
        </w:rPr>
      </w:pPr>
    </w:p>
    <w:p w14:paraId="1C18FAEA" w14:textId="77777777" w:rsidR="00A57797" w:rsidRPr="00A57797" w:rsidRDefault="00A57797" w:rsidP="00A577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Calibri"/>
          <w:i/>
          <w:sz w:val="4"/>
          <w:szCs w:val="4"/>
        </w:rPr>
      </w:pPr>
    </w:p>
    <w:p w14:paraId="055E9357" w14:textId="77777777" w:rsidR="00A57797" w:rsidRPr="00A57797" w:rsidRDefault="00A57797" w:rsidP="00A577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Calibri"/>
          <w:i/>
          <w:sz w:val="4"/>
          <w:szCs w:val="4"/>
        </w:rPr>
      </w:pPr>
    </w:p>
    <w:p w14:paraId="18472A27" w14:textId="77777777" w:rsidR="00A57797" w:rsidRPr="00A57797" w:rsidRDefault="00A57797" w:rsidP="00A577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Calibri"/>
          <w:i/>
          <w:sz w:val="4"/>
          <w:szCs w:val="4"/>
        </w:rPr>
      </w:pPr>
    </w:p>
    <w:p w14:paraId="7D28E0D2" w14:textId="77777777" w:rsidR="00A57797" w:rsidRPr="00A57797" w:rsidRDefault="00A57797" w:rsidP="00A577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Calibri"/>
          <w:i/>
          <w:sz w:val="4"/>
          <w:szCs w:val="4"/>
        </w:rPr>
      </w:pPr>
    </w:p>
    <w:p w14:paraId="2445E382" w14:textId="77777777" w:rsidR="00A57797" w:rsidRPr="00A57797" w:rsidRDefault="00A57797" w:rsidP="00A577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sz w:val="16"/>
          <w:szCs w:val="16"/>
        </w:rPr>
      </w:pPr>
      <w:r w:rsidRPr="00A57797">
        <w:rPr>
          <w:rFonts w:ascii="Calibri" w:eastAsia="Times New Roman" w:hAnsi="Calibri" w:cs="Calibri"/>
          <w:b/>
          <w:sz w:val="16"/>
          <w:szCs w:val="16"/>
        </w:rPr>
        <w:t>ЗАЯВЛЕНИЕ О ЗАКЛЮЧЕНИИ ДОГОВОРОВ</w:t>
      </w:r>
    </w:p>
    <w:p w14:paraId="2835B896" w14:textId="77777777" w:rsidR="00A57797" w:rsidRPr="00A57797" w:rsidRDefault="00A57797" w:rsidP="00A5779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78" w:right="-78"/>
        <w:jc w:val="center"/>
        <w:textAlignment w:val="baseline"/>
        <w:rPr>
          <w:rFonts w:ascii="Calibri" w:eastAsia="Times New Roman" w:hAnsi="Calibri" w:cs="Calibri"/>
          <w:b/>
          <w:sz w:val="16"/>
          <w:szCs w:val="16"/>
        </w:rPr>
      </w:pPr>
      <w:r w:rsidRPr="00A57797">
        <w:rPr>
          <w:rFonts w:ascii="Calibri" w:eastAsia="Times New Roman" w:hAnsi="Calibri" w:cs="Calibri"/>
          <w:b/>
          <w:sz w:val="16"/>
          <w:szCs w:val="16"/>
        </w:rPr>
        <w:t>путем присоединения к условиям оказания ООО «</w:t>
      </w:r>
      <w:proofErr w:type="spellStart"/>
      <w:r w:rsidRPr="00A57797">
        <w:rPr>
          <w:rFonts w:ascii="Calibri" w:eastAsia="Times New Roman" w:hAnsi="Calibri" w:cs="Calibri"/>
          <w:b/>
          <w:sz w:val="16"/>
          <w:szCs w:val="16"/>
        </w:rPr>
        <w:t>Кадерус</w:t>
      </w:r>
      <w:proofErr w:type="spellEnd"/>
      <w:r w:rsidRPr="00A57797">
        <w:rPr>
          <w:rFonts w:ascii="Calibri" w:eastAsia="Times New Roman" w:hAnsi="Calibri" w:cs="Calibri"/>
          <w:b/>
          <w:sz w:val="16"/>
          <w:szCs w:val="16"/>
        </w:rPr>
        <w:t xml:space="preserve"> Брокер» услуг на рынках ценных бумаг, услуг по совершению сделок с иностранной валютой на организованных торгах ПАО Московская Биржа, услуг по осуществлению учета иностранных финансовых инструментов, не квалифицированных в качестве ценных бумаг</w:t>
      </w:r>
    </w:p>
    <w:p w14:paraId="2FF71B79" w14:textId="77777777" w:rsidR="00A57797" w:rsidRPr="00A57797" w:rsidRDefault="00A57797" w:rsidP="00A57797">
      <w:pPr>
        <w:spacing w:after="0" w:line="240" w:lineRule="auto"/>
        <w:rPr>
          <w:rFonts w:ascii="Calibri" w:eastAsia="Times New Roman" w:hAnsi="Calibri" w:cs="Calibri"/>
          <w:sz w:val="6"/>
          <w:szCs w:val="6"/>
          <w:lang w:eastAsia="ru-RU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32"/>
      </w:tblGrid>
      <w:tr w:rsidR="00A57797" w:rsidRPr="00A57797" w14:paraId="100373A8" w14:textId="77777777" w:rsidTr="001B242C">
        <w:trPr>
          <w:trHeight w:val="1614"/>
        </w:trPr>
        <w:tc>
          <w:tcPr>
            <w:tcW w:w="10632" w:type="dxa"/>
          </w:tcPr>
          <w:p w14:paraId="35E5C7A6" w14:textId="77777777" w:rsidR="00A57797" w:rsidRPr="00A57797" w:rsidRDefault="00A57797" w:rsidP="00A57797">
            <w:pPr>
              <w:spacing w:before="60" w:after="0" w:line="240" w:lineRule="auto"/>
              <w:jc w:val="both"/>
              <w:rPr>
                <w:rFonts w:ascii="Calibri" w:eastAsia="Times New Roman" w:hAnsi="Calibri" w:cs="Calibri"/>
                <w:sz w:val="14"/>
                <w:szCs w:val="14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sz w:val="14"/>
                <w:szCs w:val="14"/>
                <w:lang w:eastAsia="ru-RU"/>
              </w:rPr>
              <w:t>Клиент заявляет о намерении заключить следующий договор (договоры) путем присоединения к установленным ООО «</w:t>
            </w:r>
            <w:proofErr w:type="spellStart"/>
            <w:r w:rsidRPr="00A57797">
              <w:rPr>
                <w:rFonts w:ascii="Calibri" w:eastAsia="Times New Roman" w:hAnsi="Calibri" w:cs="Calibri"/>
                <w:sz w:val="14"/>
                <w:szCs w:val="14"/>
                <w:lang w:eastAsia="ru-RU"/>
              </w:rPr>
              <w:t>Кадерус</w:t>
            </w:r>
            <w:proofErr w:type="spellEnd"/>
            <w:r w:rsidRPr="00A57797">
              <w:rPr>
                <w:rFonts w:ascii="Calibri" w:eastAsia="Times New Roman" w:hAnsi="Calibri" w:cs="Calibri"/>
                <w:sz w:val="14"/>
                <w:szCs w:val="14"/>
                <w:lang w:eastAsia="ru-RU"/>
              </w:rPr>
              <w:t xml:space="preserve"> Брокер» стандартным условиям: </w:t>
            </w:r>
          </w:p>
          <w:p w14:paraId="4B290B36" w14:textId="1CF9F8A2" w:rsidR="00A57797" w:rsidRPr="00A57797" w:rsidRDefault="00A57797" w:rsidP="00A57797">
            <w:pPr>
              <w:tabs>
                <w:tab w:val="left" w:pos="318"/>
              </w:tabs>
              <w:spacing w:before="60" w:after="0" w:line="240" w:lineRule="auto"/>
              <w:ind w:left="437" w:hanging="119"/>
              <w:jc w:val="both"/>
              <w:rPr>
                <w:rFonts w:ascii="Calibri" w:eastAsia="Times New Roman" w:hAnsi="Calibri" w:cs="Calibri"/>
                <w:b/>
                <w:sz w:val="16"/>
                <w:szCs w:val="16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noProof/>
                <w:sz w:val="14"/>
                <w:szCs w:val="1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65E20BB" wp14:editId="528A415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59055</wp:posOffset>
                      </wp:positionV>
                      <wp:extent cx="107950" cy="107950"/>
                      <wp:effectExtent l="1905" t="1905" r="4445" b="4445"/>
                      <wp:wrapNone/>
                      <wp:docPr id="9" name="Прямоугольник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E64B15" id="Прямоугольник 9" o:spid="_x0000_s1026" style="position:absolute;margin-left:0;margin-top:4.65pt;width:8.5pt;height: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"/>
                  </w:pict>
                </mc:Fallback>
              </mc:AlternateContent>
            </w:r>
            <w:r w:rsidRPr="00A57797">
              <w:rPr>
                <w:rFonts w:ascii="Calibri" w:eastAsia="Times New Roman" w:hAnsi="Calibri" w:cs="Calibri"/>
                <w:b/>
                <w:sz w:val="16"/>
                <w:szCs w:val="16"/>
                <w:lang w:eastAsia="ru-RU"/>
              </w:rPr>
              <w:t>Договор о брокерском обслуживании на рынке ценных бумаг</w:t>
            </w:r>
          </w:p>
          <w:p w14:paraId="00A003A4" w14:textId="77777777" w:rsidR="00A57797" w:rsidRPr="00A57797" w:rsidRDefault="00A57797" w:rsidP="00A57797">
            <w:pPr>
              <w:tabs>
                <w:tab w:val="left" w:pos="318"/>
              </w:tabs>
              <w:spacing w:after="0" w:line="240" w:lineRule="auto"/>
              <w:ind w:left="438" w:hanging="119"/>
              <w:jc w:val="both"/>
              <w:rPr>
                <w:rFonts w:ascii="Calibri" w:eastAsia="Times New Roman" w:hAnsi="Calibri" w:cs="Calibri"/>
                <w:sz w:val="14"/>
                <w:szCs w:val="14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sz w:val="14"/>
                <w:szCs w:val="14"/>
                <w:lang w:eastAsia="ru-RU"/>
              </w:rPr>
              <w:t>(услуги по совершению необеспеченных сделок и срочных сделок, если совершение таких сделок клиентом не запрещено правовыми актами Российской Федерации, сделок с иностранной валютой на организованных торгах ПАО Московская Биржа)</w:t>
            </w:r>
          </w:p>
          <w:p w14:paraId="15B86912" w14:textId="680F6C95" w:rsidR="00A57797" w:rsidRPr="00A57797" w:rsidRDefault="00A57797" w:rsidP="00A57797">
            <w:pPr>
              <w:tabs>
                <w:tab w:val="left" w:pos="318"/>
                <w:tab w:val="left" w:pos="3246"/>
                <w:tab w:val="left" w:pos="4884"/>
              </w:tabs>
              <w:spacing w:after="0" w:line="240" w:lineRule="auto"/>
              <w:ind w:firstLine="318"/>
              <w:jc w:val="both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41A5B83" wp14:editId="7EC509A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6985</wp:posOffset>
                      </wp:positionV>
                      <wp:extent cx="107950" cy="107950"/>
                      <wp:effectExtent l="1905" t="5080" r="4445" b="1270"/>
                      <wp:wrapNone/>
                      <wp:docPr id="8" name="Прямоугольник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ADE022" id="Прямоугольник 8" o:spid="_x0000_s1026" style="position:absolute;margin-left:0;margin-top:.55pt;width:8.5pt;height:8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"/>
                  </w:pict>
                </mc:Fallback>
              </mc:AlternateContent>
            </w:r>
            <w:r w:rsidRPr="00A57797">
              <w:rPr>
                <w:rFonts w:ascii="Calibri" w:eastAsia="Times New Roman" w:hAnsi="Calibri" w:cs="Calibri"/>
                <w:noProof/>
                <w:sz w:val="14"/>
                <w:szCs w:val="1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2355F33" wp14:editId="7C362E14">
                      <wp:simplePos x="0" y="0"/>
                      <wp:positionH relativeFrom="column">
                        <wp:posOffset>2042795</wp:posOffset>
                      </wp:positionH>
                      <wp:positionV relativeFrom="paragraph">
                        <wp:posOffset>20955</wp:posOffset>
                      </wp:positionV>
                      <wp:extent cx="90805" cy="90805"/>
                      <wp:effectExtent l="6350" t="0" r="7620" b="4445"/>
                      <wp:wrapNone/>
                      <wp:docPr id="7" name="Прямоугольник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D639FA" id="Прямоугольник 7" o:spid="_x0000_s1026" style="position:absolute;margin-left:160.85pt;margin-top:1.65pt;width:7.15pt;height:7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"/>
                  </w:pict>
                </mc:Fallback>
              </mc:AlternateContent>
            </w:r>
            <w:r w:rsidRPr="00A57797">
              <w:rPr>
                <w:rFonts w:ascii="Calibri" w:eastAsia="Times New Roman" w:hAnsi="Calibri" w:cs="Calibri"/>
                <w:noProof/>
                <w:sz w:val="14"/>
                <w:szCs w:val="1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491DA41" wp14:editId="625E25A6">
                      <wp:simplePos x="0" y="0"/>
                      <wp:positionH relativeFrom="column">
                        <wp:posOffset>3042920</wp:posOffset>
                      </wp:positionH>
                      <wp:positionV relativeFrom="paragraph">
                        <wp:posOffset>11430</wp:posOffset>
                      </wp:positionV>
                      <wp:extent cx="90805" cy="90805"/>
                      <wp:effectExtent l="6350" t="9525" r="7620" b="4445"/>
                      <wp:wrapNone/>
                      <wp:docPr id="6" name="Прямоугольник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F44A44" id="Прямоугольник 6" o:spid="_x0000_s1026" style="position:absolute;margin-left:239.6pt;margin-top:.9pt;width:7.15pt;height:7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"/>
                  </w:pict>
                </mc:Fallback>
              </mc:AlternateContent>
            </w:r>
            <w:r w:rsidRPr="00A57797">
              <w:rPr>
                <w:rFonts w:ascii="Calibri" w:eastAsia="Times New Roman" w:hAnsi="Calibri" w:cs="Calibri"/>
                <w:b/>
                <w:sz w:val="16"/>
                <w:szCs w:val="16"/>
                <w:lang w:eastAsia="ru-RU"/>
              </w:rPr>
              <w:t>Депозитарный договор</w:t>
            </w:r>
            <w:r w:rsidRPr="00A57797">
              <w:rPr>
                <w:rFonts w:ascii="Calibri" w:eastAsia="Times New Roman" w:hAnsi="Calibri" w:cs="Calibri"/>
                <w:b/>
                <w:sz w:val="20"/>
                <w:szCs w:val="20"/>
                <w:lang w:eastAsia="ru-RU"/>
              </w:rPr>
              <w:tab/>
              <w:t xml:space="preserve">    </w:t>
            </w:r>
            <w:r w:rsidRPr="00A57797">
              <w:rPr>
                <w:rFonts w:ascii="Calibri" w:eastAsia="Times New Roman" w:hAnsi="Calibri" w:cs="Calibri"/>
                <w:sz w:val="14"/>
                <w:szCs w:val="14"/>
                <w:lang w:eastAsia="ru-RU"/>
              </w:rPr>
              <w:t>владелец</w:t>
            </w:r>
            <w:r w:rsidRPr="00A57797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;</w:t>
            </w:r>
            <w:r w:rsidRPr="00A57797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ab/>
              <w:t xml:space="preserve">   </w:t>
            </w:r>
            <w:r w:rsidRPr="00A57797">
              <w:rPr>
                <w:rFonts w:ascii="Calibri" w:eastAsia="Times New Roman" w:hAnsi="Calibri" w:cs="Calibri"/>
                <w:sz w:val="14"/>
                <w:szCs w:val="14"/>
                <w:lang w:eastAsia="ru-RU"/>
              </w:rPr>
              <w:t>доверительный управляющий</w:t>
            </w:r>
          </w:p>
          <w:p w14:paraId="5EA39DBF" w14:textId="7B028025" w:rsidR="00A57797" w:rsidRPr="00A57797" w:rsidRDefault="00A57797" w:rsidP="00A57797">
            <w:pPr>
              <w:tabs>
                <w:tab w:val="left" w:pos="318"/>
                <w:tab w:val="left" w:pos="4428"/>
              </w:tabs>
              <w:spacing w:before="20" w:after="20" w:line="240" w:lineRule="auto"/>
              <w:ind w:left="437" w:hanging="119"/>
              <w:jc w:val="both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b/>
                <w:noProof/>
                <w:sz w:val="16"/>
                <w:szCs w:val="1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A6EC854" wp14:editId="7144E49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27305</wp:posOffset>
                      </wp:positionV>
                      <wp:extent cx="107950" cy="107950"/>
                      <wp:effectExtent l="1905" t="6985" r="4445" b="8890"/>
                      <wp:wrapNone/>
                      <wp:docPr id="5" name="Прямоугольник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AA7487" id="Прямоугольник 5" o:spid="_x0000_s1026" style="position:absolute;margin-left:0;margin-top:2.15pt;width:8.5pt;height: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"/>
                  </w:pict>
                </mc:Fallback>
              </mc:AlternateContent>
            </w:r>
            <w:r w:rsidRPr="00A57797">
              <w:rPr>
                <w:rFonts w:ascii="Calibri" w:eastAsia="Times New Roman" w:hAnsi="Calibri" w:cs="Calibri"/>
                <w:b/>
                <w:noProof/>
                <w:sz w:val="16"/>
                <w:szCs w:val="1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70831C2" wp14:editId="2491F42B">
                      <wp:simplePos x="0" y="0"/>
                      <wp:positionH relativeFrom="column">
                        <wp:posOffset>2719070</wp:posOffset>
                      </wp:positionH>
                      <wp:positionV relativeFrom="paragraph">
                        <wp:posOffset>23495</wp:posOffset>
                      </wp:positionV>
                      <wp:extent cx="90805" cy="90805"/>
                      <wp:effectExtent l="6350" t="3175" r="7620" b="1270"/>
                      <wp:wrapNone/>
                      <wp:docPr id="4" name="Прямоугольник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57FBC6" id="Прямоугольник 4" o:spid="_x0000_s1026" style="position:absolute;margin-left:214.1pt;margin-top:1.85pt;width:7.15pt;height:7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"/>
                  </w:pict>
                </mc:Fallback>
              </mc:AlternateContent>
            </w:r>
            <w:r w:rsidRPr="00A57797">
              <w:rPr>
                <w:rFonts w:ascii="Calibri" w:eastAsia="Times New Roman" w:hAnsi="Calibri" w:cs="Calibri"/>
                <w:b/>
                <w:noProof/>
                <w:sz w:val="16"/>
                <w:szCs w:val="1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069A10A" wp14:editId="5198760D">
                      <wp:simplePos x="0" y="0"/>
                      <wp:positionH relativeFrom="column">
                        <wp:posOffset>3963670</wp:posOffset>
                      </wp:positionH>
                      <wp:positionV relativeFrom="paragraph">
                        <wp:posOffset>22860</wp:posOffset>
                      </wp:positionV>
                      <wp:extent cx="90805" cy="90805"/>
                      <wp:effectExtent l="3175" t="2540" r="1270" b="1905"/>
                      <wp:wrapNone/>
                      <wp:docPr id="3" name="Прямоугольник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4A0B80" id="Прямоугольник 3" o:spid="_x0000_s1026" style="position:absolute;margin-left:312.1pt;margin-top:1.8pt;width:7.15pt;height:7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"/>
                  </w:pict>
                </mc:Fallback>
              </mc:AlternateContent>
            </w:r>
            <w:r w:rsidRPr="00A57797">
              <w:rPr>
                <w:rFonts w:ascii="Calibri" w:eastAsia="Times New Roman" w:hAnsi="Calibri" w:cs="Calibri"/>
                <w:b/>
                <w:sz w:val="16"/>
                <w:szCs w:val="16"/>
                <w:lang w:eastAsia="ru-RU"/>
              </w:rPr>
              <w:t xml:space="preserve">Договор о </w:t>
            </w:r>
            <w:proofErr w:type="spellStart"/>
            <w:r w:rsidRPr="00A57797">
              <w:rPr>
                <w:rFonts w:ascii="Calibri" w:eastAsia="Times New Roman" w:hAnsi="Calibri" w:cs="Calibri"/>
                <w:b/>
                <w:sz w:val="16"/>
                <w:szCs w:val="16"/>
                <w:lang w:eastAsia="ru-RU"/>
              </w:rPr>
              <w:t>междепозитарных</w:t>
            </w:r>
            <w:proofErr w:type="spellEnd"/>
            <w:r w:rsidRPr="00A57797">
              <w:rPr>
                <w:rFonts w:ascii="Calibri" w:eastAsia="Times New Roman" w:hAnsi="Calibri" w:cs="Calibri"/>
                <w:b/>
                <w:sz w:val="16"/>
                <w:szCs w:val="16"/>
                <w:lang w:eastAsia="ru-RU"/>
              </w:rPr>
              <w:t xml:space="preserve"> отношениях </w:t>
            </w:r>
            <w:proofErr w:type="gramStart"/>
            <w:r w:rsidRPr="00A57797">
              <w:rPr>
                <w:rFonts w:ascii="Calibri" w:eastAsia="Times New Roman" w:hAnsi="Calibri" w:cs="Calibri"/>
                <w:b/>
                <w:sz w:val="16"/>
                <w:szCs w:val="16"/>
                <w:lang w:eastAsia="ru-RU"/>
              </w:rPr>
              <w:tab/>
            </w:r>
            <w:r w:rsidRPr="00A57797" w:rsidDel="0060453E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 </w:t>
            </w:r>
            <w:r w:rsidRPr="00A57797">
              <w:rPr>
                <w:rFonts w:ascii="Calibri" w:eastAsia="Times New Roman" w:hAnsi="Calibri" w:cs="Calibri"/>
                <w:b/>
                <w:sz w:val="16"/>
                <w:szCs w:val="16"/>
                <w:lang w:eastAsia="ru-RU"/>
              </w:rPr>
              <w:t xml:space="preserve"> </w:t>
            </w:r>
            <w:r w:rsidRPr="00A57797">
              <w:rPr>
                <w:rFonts w:ascii="Calibri" w:eastAsia="Times New Roman" w:hAnsi="Calibri" w:cs="Calibri"/>
                <w:sz w:val="14"/>
                <w:szCs w:val="14"/>
                <w:lang w:eastAsia="ru-RU"/>
              </w:rPr>
              <w:t>номинальный</w:t>
            </w:r>
            <w:proofErr w:type="gramEnd"/>
            <w:r w:rsidRPr="00A57797">
              <w:rPr>
                <w:rFonts w:ascii="Calibri" w:eastAsia="Times New Roman" w:hAnsi="Calibri" w:cs="Calibri"/>
                <w:sz w:val="14"/>
                <w:szCs w:val="14"/>
                <w:lang w:eastAsia="ru-RU"/>
              </w:rPr>
              <w:t xml:space="preserve"> держатель; </w:t>
            </w:r>
            <w:r w:rsidRPr="00A57797">
              <w:rPr>
                <w:rFonts w:ascii="Calibri" w:eastAsia="Times New Roman" w:hAnsi="Calibri" w:cs="Calibri"/>
                <w:sz w:val="14"/>
                <w:szCs w:val="14"/>
                <w:lang w:eastAsia="ru-RU"/>
              </w:rPr>
              <w:tab/>
            </w:r>
            <w:r w:rsidRPr="00A57797" w:rsidDel="0060453E">
              <w:rPr>
                <w:rFonts w:ascii="Calibri" w:eastAsia="Times New Roman" w:hAnsi="Calibri" w:cs="Calibri"/>
                <w:sz w:val="14"/>
                <w:szCs w:val="14"/>
                <w:lang w:eastAsia="ru-RU"/>
              </w:rPr>
              <w:t xml:space="preserve"> </w:t>
            </w:r>
            <w:r w:rsidRPr="00A57797">
              <w:rPr>
                <w:rFonts w:ascii="Calibri" w:eastAsia="Times New Roman" w:hAnsi="Calibri" w:cs="Calibri"/>
                <w:sz w:val="14"/>
                <w:szCs w:val="14"/>
                <w:lang w:eastAsia="ru-RU"/>
              </w:rPr>
              <w:t xml:space="preserve"> иностранный номинальный держатель</w:t>
            </w:r>
          </w:p>
          <w:p w14:paraId="45E7954C" w14:textId="2671CC49" w:rsidR="00A57797" w:rsidRPr="00A57797" w:rsidRDefault="00A57797" w:rsidP="00A57797">
            <w:pPr>
              <w:tabs>
                <w:tab w:val="left" w:pos="318"/>
              </w:tabs>
              <w:spacing w:before="20" w:after="20" w:line="240" w:lineRule="auto"/>
              <w:ind w:left="437" w:hanging="119"/>
              <w:jc w:val="both"/>
              <w:rPr>
                <w:rFonts w:ascii="Calibri" w:eastAsia="Times New Roman" w:hAnsi="Calibri" w:cs="Calibri"/>
                <w:b/>
                <w:sz w:val="16"/>
                <w:szCs w:val="16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b/>
                <w:noProof/>
                <w:sz w:val="16"/>
                <w:szCs w:val="1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F53D400" wp14:editId="74C436A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29210</wp:posOffset>
                      </wp:positionV>
                      <wp:extent cx="107950" cy="107950"/>
                      <wp:effectExtent l="1905" t="5715" r="4445" b="635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789096" id="Прямоугольник 2" o:spid="_x0000_s1026" style="position:absolute;margin-left:0;margin-top:2.3pt;width:8.5pt;height:8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"/>
                  </w:pict>
                </mc:Fallback>
              </mc:AlternateContent>
            </w:r>
            <w:r w:rsidRPr="00A57797">
              <w:rPr>
                <w:rFonts w:ascii="Calibri" w:eastAsia="Times New Roman" w:hAnsi="Calibri" w:cs="Calibri"/>
                <w:b/>
                <w:sz w:val="16"/>
                <w:szCs w:val="16"/>
                <w:lang w:eastAsia="ru-RU"/>
              </w:rPr>
              <w:t>Соглашение об электронном документообороте</w:t>
            </w:r>
          </w:p>
          <w:p w14:paraId="60574BCA" w14:textId="7F3378AD" w:rsidR="00A57797" w:rsidRPr="00A57797" w:rsidRDefault="00A57797" w:rsidP="00A57797">
            <w:pPr>
              <w:tabs>
                <w:tab w:val="left" w:pos="318"/>
                <w:tab w:val="left" w:pos="3246"/>
                <w:tab w:val="left" w:pos="4884"/>
                <w:tab w:val="left" w:pos="7614"/>
              </w:tabs>
              <w:spacing w:before="20" w:after="0" w:line="240" w:lineRule="auto"/>
              <w:ind w:left="459" w:hanging="119"/>
              <w:jc w:val="both"/>
              <w:rPr>
                <w:rFonts w:ascii="Calibri" w:eastAsia="Times New Roman" w:hAnsi="Calibri" w:cs="Calibri"/>
                <w:sz w:val="8"/>
                <w:szCs w:val="8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b/>
                <w:noProof/>
                <w:sz w:val="16"/>
                <w:szCs w:val="1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DF8D5E5" wp14:editId="33EF524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43815</wp:posOffset>
                      </wp:positionV>
                      <wp:extent cx="107950" cy="107950"/>
                      <wp:effectExtent l="1905" t="4445" r="4445" b="1905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A386BE" id="Прямоугольник 1" o:spid="_x0000_s1026" style="position:absolute;margin-left:0;margin-top:3.45pt;width:8.5pt;height:8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"/>
                  </w:pict>
                </mc:Fallback>
              </mc:AlternateContent>
            </w:r>
            <w:r w:rsidRPr="00A57797">
              <w:rPr>
                <w:rFonts w:ascii="Calibri" w:eastAsia="Times New Roman" w:hAnsi="Calibri" w:cs="Calibri"/>
                <w:b/>
                <w:sz w:val="16"/>
                <w:szCs w:val="16"/>
                <w:lang w:eastAsia="ru-RU"/>
              </w:rPr>
              <w:t>Договор об осуществлении учета иностранных финансовых инструментов, не квалифицированных в качестве ценных бумаг (далее – «Договор об учете ИФИ»)</w:t>
            </w:r>
          </w:p>
        </w:tc>
      </w:tr>
      <w:tr w:rsidR="00A57797" w:rsidRPr="00A57797" w14:paraId="3150A5A4" w14:textId="77777777" w:rsidTr="001B242C">
        <w:tc>
          <w:tcPr>
            <w:tcW w:w="10632" w:type="dxa"/>
          </w:tcPr>
          <w:p w14:paraId="6F789D64" w14:textId="77777777" w:rsidR="00A57797" w:rsidRPr="00A57797" w:rsidRDefault="00A57797" w:rsidP="00A5779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Клиент заявляет о согласии использовать электронную подпись в документообороте с ООО «</w:t>
            </w:r>
            <w:proofErr w:type="spellStart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Кадерус</w:t>
            </w:r>
            <w:proofErr w:type="spellEnd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 xml:space="preserve"> Брокер» в порядке, предусмотренном Правилами электронного документооборота ООО «</w:t>
            </w:r>
            <w:proofErr w:type="spellStart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Кадерус</w:t>
            </w:r>
            <w:proofErr w:type="spellEnd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 xml:space="preserve"> Брокер».</w:t>
            </w:r>
          </w:p>
          <w:p w14:paraId="013AE95D" w14:textId="77777777" w:rsidR="00A57797" w:rsidRPr="00A57797" w:rsidRDefault="00A57797" w:rsidP="00A5779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Клиент заявляет о согласии предоставления номера мобильного телефона на получение одноразовых паролей посредством СМС – уведомлений.</w:t>
            </w:r>
          </w:p>
          <w:p w14:paraId="4C1734C7" w14:textId="77777777" w:rsidR="00A57797" w:rsidRPr="00A57797" w:rsidRDefault="00A57797" w:rsidP="00A5779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Клиент заявляет о согласии получения идентификатора (логина) и пароля для доступа к информационным системам ООО «</w:t>
            </w:r>
            <w:proofErr w:type="spellStart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Кадерус</w:t>
            </w:r>
            <w:proofErr w:type="spellEnd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 xml:space="preserve"> Брокер».</w:t>
            </w:r>
          </w:p>
        </w:tc>
      </w:tr>
      <w:tr w:rsidR="00A57797" w:rsidRPr="00A57797" w14:paraId="70E62AA0" w14:textId="77777777" w:rsidTr="001B242C">
        <w:trPr>
          <w:trHeight w:val="5318"/>
        </w:trPr>
        <w:tc>
          <w:tcPr>
            <w:tcW w:w="10632" w:type="dxa"/>
          </w:tcPr>
          <w:p w14:paraId="7DEF405E" w14:textId="77777777" w:rsidR="00A57797" w:rsidRPr="00A57797" w:rsidRDefault="00A57797" w:rsidP="00A5779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Документы, устанавливающие стандартные условия договоров об оказании клиенту услуг и о порядке взаимодействия сторон:</w:t>
            </w:r>
          </w:p>
          <w:p w14:paraId="5E855467" w14:textId="77777777" w:rsidR="00A57797" w:rsidRPr="00A57797" w:rsidRDefault="00A57797" w:rsidP="00A57797">
            <w:pPr>
              <w:numPr>
                <w:ilvl w:val="0"/>
                <w:numId w:val="2"/>
              </w:numPr>
              <w:tabs>
                <w:tab w:val="num" w:pos="282"/>
              </w:tabs>
              <w:spacing w:after="0" w:line="240" w:lineRule="auto"/>
              <w:ind w:left="282" w:hanging="282"/>
              <w:jc w:val="both"/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«Регламент оказания ООО «</w:t>
            </w:r>
            <w:proofErr w:type="spellStart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Кадерус</w:t>
            </w:r>
            <w:proofErr w:type="spellEnd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 xml:space="preserve"> Брокер» брокерских услуг на рынках ценных бумаг» и приложения к нему – условия брокерского обслуживания на рынке ценных бумаг (включая необеспеченные и срочные сделки), условия оказания ООО «</w:t>
            </w:r>
            <w:proofErr w:type="spellStart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Кадерус</w:t>
            </w:r>
            <w:proofErr w:type="spellEnd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 xml:space="preserve"> Брокер» услуг по совершению сделок с иностранной валютой на организованных торгах ПАО Московская Биржа;</w:t>
            </w:r>
          </w:p>
          <w:p w14:paraId="3C03CFCE" w14:textId="77777777" w:rsidR="00A57797" w:rsidRPr="00A57797" w:rsidRDefault="00A57797" w:rsidP="00A57797">
            <w:pPr>
              <w:numPr>
                <w:ilvl w:val="0"/>
                <w:numId w:val="2"/>
              </w:numPr>
              <w:tabs>
                <w:tab w:val="num" w:pos="282"/>
              </w:tabs>
              <w:spacing w:after="0" w:line="240" w:lineRule="auto"/>
              <w:ind w:left="282" w:hanging="282"/>
              <w:jc w:val="both"/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«Условия осуществления депозитарной деятельности ООО «</w:t>
            </w:r>
            <w:proofErr w:type="spellStart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Кадерус</w:t>
            </w:r>
            <w:proofErr w:type="spellEnd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 xml:space="preserve"> Брокер» и приложения к ним (далее – «Условия») – условия депозитарного договора;</w:t>
            </w:r>
          </w:p>
          <w:p w14:paraId="7947EA40" w14:textId="77777777" w:rsidR="00A57797" w:rsidRPr="00A57797" w:rsidRDefault="00A57797" w:rsidP="00A57797">
            <w:pPr>
              <w:numPr>
                <w:ilvl w:val="0"/>
                <w:numId w:val="2"/>
              </w:numPr>
              <w:tabs>
                <w:tab w:val="num" w:pos="282"/>
                <w:tab w:val="num" w:pos="1002"/>
              </w:tabs>
              <w:spacing w:after="0" w:line="240" w:lineRule="auto"/>
              <w:ind w:left="282" w:hanging="282"/>
              <w:jc w:val="both"/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«Правила электронного документооборота ООО «</w:t>
            </w:r>
            <w:proofErr w:type="spellStart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Кадерус</w:t>
            </w:r>
            <w:proofErr w:type="spellEnd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 xml:space="preserve"> Брокер»» и приложения к ним – порядок функционирования информационной системы, обеспечивающей передачу электронных документов между участниками данной системы, а также порядок использования электронной подписи в документообороте между клиентом и ООО «</w:t>
            </w:r>
            <w:proofErr w:type="spellStart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Кадерус</w:t>
            </w:r>
            <w:proofErr w:type="spellEnd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 xml:space="preserve"> Брокер»;</w:t>
            </w:r>
          </w:p>
          <w:p w14:paraId="56F27FFA" w14:textId="77777777" w:rsidR="00A57797" w:rsidRPr="00A57797" w:rsidRDefault="00A57797" w:rsidP="00A57797">
            <w:pPr>
              <w:numPr>
                <w:ilvl w:val="0"/>
                <w:numId w:val="2"/>
              </w:numPr>
              <w:tabs>
                <w:tab w:val="num" w:pos="282"/>
                <w:tab w:val="num" w:pos="1002"/>
              </w:tabs>
              <w:spacing w:after="0" w:line="240" w:lineRule="auto"/>
              <w:ind w:left="282" w:hanging="282"/>
              <w:jc w:val="both"/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</w:pPr>
            <w:r w:rsidRPr="00A57797" w:rsidDel="00BF5793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 xml:space="preserve"> </w:t>
            </w:r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«Договор об осуществлении учета иностранных финансовых инструментов, не квалифицированных в качестве ценных бумаг» и приложения к нему – условия оказания ООО «</w:t>
            </w:r>
            <w:proofErr w:type="spellStart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Кадерус</w:t>
            </w:r>
            <w:proofErr w:type="spellEnd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 xml:space="preserve"> Брокер» услуг по учету иностранных финансовых инструментов, не квалифицированных в качестве ценных бумаг (далее – «ИФИ»);</w:t>
            </w:r>
          </w:p>
          <w:p w14:paraId="302474DC" w14:textId="77777777" w:rsidR="00A57797" w:rsidRPr="00A57797" w:rsidRDefault="00A57797" w:rsidP="00A57797">
            <w:pPr>
              <w:numPr>
                <w:ilvl w:val="0"/>
                <w:numId w:val="2"/>
              </w:numPr>
              <w:tabs>
                <w:tab w:val="num" w:pos="282"/>
              </w:tabs>
              <w:spacing w:after="0" w:line="240" w:lineRule="auto"/>
              <w:ind w:left="282" w:hanging="282"/>
              <w:jc w:val="both"/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«Тарифы ООО «</w:t>
            </w:r>
            <w:proofErr w:type="spellStart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Кадерус</w:t>
            </w:r>
            <w:proofErr w:type="spellEnd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 xml:space="preserve"> Брокер» на оказание услуг» – размер оплаты услуг и возмещения расходов ООО «</w:t>
            </w:r>
            <w:proofErr w:type="spellStart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Кадерус</w:t>
            </w:r>
            <w:proofErr w:type="spellEnd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 xml:space="preserve"> Брокер» по заключенным договорам</w:t>
            </w:r>
          </w:p>
          <w:p w14:paraId="01A3EA00" w14:textId="77777777" w:rsidR="00A57797" w:rsidRPr="00A57797" w:rsidRDefault="00A57797" w:rsidP="00A57797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ООО «</w:t>
            </w:r>
            <w:proofErr w:type="spellStart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Кадерус</w:t>
            </w:r>
            <w:proofErr w:type="spellEnd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 xml:space="preserve"> Брокер» в одностороннем порядке утверждает и вносит изменения в вышеуказанные документы. О вступлении в силу изменений ООО «</w:t>
            </w:r>
            <w:proofErr w:type="spellStart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Кадерус</w:t>
            </w:r>
            <w:proofErr w:type="spellEnd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 xml:space="preserve"> Брокер» обязано уведомлять клиента не позднее чем за 10 (Десять) рабочих дней. Текст вышеуказанных документов и уведомления об их изменении, а </w:t>
            </w:r>
            <w:proofErr w:type="gramStart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также  иные</w:t>
            </w:r>
            <w:proofErr w:type="gramEnd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 xml:space="preserve"> уведомления и требования, адресованные клиенту размещаются в сети</w:t>
            </w:r>
            <w:r w:rsidRPr="00A57797">
              <w:rPr>
                <w:rFonts w:ascii="Calibri" w:eastAsia="Times New Roman" w:hAnsi="Calibri" w:cs="Calibri"/>
                <w:color w:val="FF0000"/>
                <w:sz w:val="12"/>
                <w:szCs w:val="12"/>
                <w:lang w:eastAsia="ru-RU"/>
              </w:rPr>
              <w:t xml:space="preserve"> </w:t>
            </w:r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«Интернет» по адресу https://caderus.broker. Риск неблагоприятных последствий, вызванных неполучением клиентом информации, размещенной в сети «Интернет», несет клиент. ООО «</w:t>
            </w:r>
            <w:proofErr w:type="spellStart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Кадерус</w:t>
            </w:r>
            <w:proofErr w:type="spellEnd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 xml:space="preserve"> Брокер» вправе заменить указанные адреса в сети «Интернет», опубликовав соответствующее уведомление в периодическом печатном издании, распространяемом на территории Российской Федерации тиражом не менее 50 000 (Пятидесяти тысяч) экземпляров не позднее чем за 10 (Десять) дней.</w:t>
            </w:r>
          </w:p>
          <w:p w14:paraId="0854BFD2" w14:textId="77777777" w:rsidR="00A57797" w:rsidRPr="00A57797" w:rsidRDefault="00A57797" w:rsidP="00A57797">
            <w:pPr>
              <w:tabs>
                <w:tab w:val="left" w:pos="0"/>
              </w:tabs>
              <w:spacing w:before="60" w:after="0" w:line="240" w:lineRule="auto"/>
              <w:jc w:val="both"/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Клиент подтверждает:</w:t>
            </w:r>
          </w:p>
          <w:p w14:paraId="364F8926" w14:textId="77777777" w:rsidR="00A57797" w:rsidRPr="00A57797" w:rsidRDefault="00A57797" w:rsidP="00A57797">
            <w:pPr>
              <w:numPr>
                <w:ilvl w:val="0"/>
                <w:numId w:val="1"/>
              </w:numPr>
              <w:tabs>
                <w:tab w:val="left" w:pos="0"/>
                <w:tab w:val="num" w:pos="282"/>
              </w:tabs>
              <w:spacing w:after="0" w:line="240" w:lineRule="auto"/>
              <w:ind w:left="282" w:hanging="282"/>
              <w:jc w:val="both"/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ознакомление и согласие со всеми условиями и требованиями, установленными вышеуказанными документами;</w:t>
            </w:r>
          </w:p>
          <w:p w14:paraId="244D3C14" w14:textId="77777777" w:rsidR="00A57797" w:rsidRPr="00A57797" w:rsidRDefault="00A57797" w:rsidP="00A57797">
            <w:pPr>
              <w:numPr>
                <w:ilvl w:val="0"/>
                <w:numId w:val="1"/>
              </w:numPr>
              <w:tabs>
                <w:tab w:val="left" w:pos="0"/>
                <w:tab w:val="num" w:pos="282"/>
              </w:tabs>
              <w:spacing w:after="0" w:line="240" w:lineRule="auto"/>
              <w:ind w:left="282" w:hanging="282"/>
              <w:jc w:val="both"/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ознакомление с Декларацией о рисках, связанных с осуществлением операций на рынке ценных бумаг, заключением договоров, являющихся производными финансовыми инструментами (в том числе об общих рисках, о рисках, связанных с совершением маржинальных и непокрытых сделок; совершением операций с производными финансовыми инструментами; приобретением иностранных ценных бумаг; заключением договоров, являющихся производными финансовыми инструментами, базисным активом которых являются ценные бумаги иностранных эмитентов или индексы, рассчитанные по таким ценным бумагам), размещенной в сети «Интернет» по адресу https://caderus.broker;</w:t>
            </w:r>
          </w:p>
          <w:p w14:paraId="42068F27" w14:textId="77777777" w:rsidR="00A57797" w:rsidRPr="00A57797" w:rsidRDefault="00A57797" w:rsidP="00A57797">
            <w:pPr>
              <w:numPr>
                <w:ilvl w:val="0"/>
                <w:numId w:val="1"/>
              </w:numPr>
              <w:tabs>
                <w:tab w:val="left" w:pos="0"/>
                <w:tab w:val="num" w:pos="282"/>
              </w:tabs>
              <w:spacing w:after="0" w:line="240" w:lineRule="auto"/>
              <w:ind w:left="282" w:hanging="282"/>
              <w:jc w:val="both"/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ознакомление с Перечнем мер, направленных на предотвращение конфликта интересов при осуществлении ООО «</w:t>
            </w:r>
            <w:proofErr w:type="spellStart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Кадерус</w:t>
            </w:r>
            <w:proofErr w:type="spellEnd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 xml:space="preserve"> Брокер» профессиональной деятельности на рынке ценных бумаг и предоставления услуг на валютном рынке, размещенным в сети «Интернет» по адресу https://caderus.broker;</w:t>
            </w:r>
          </w:p>
          <w:p w14:paraId="10AE9460" w14:textId="77777777" w:rsidR="00A57797" w:rsidRPr="00A57797" w:rsidRDefault="00A57797" w:rsidP="00A57797">
            <w:pPr>
              <w:numPr>
                <w:ilvl w:val="0"/>
                <w:numId w:val="1"/>
              </w:numPr>
              <w:tabs>
                <w:tab w:val="left" w:pos="0"/>
                <w:tab w:val="num" w:pos="282"/>
              </w:tabs>
              <w:spacing w:after="0" w:line="240" w:lineRule="auto"/>
              <w:ind w:left="282" w:hanging="282"/>
              <w:jc w:val="both"/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 xml:space="preserve">получение письменного уведомления, содержащего информацию о том, что денежные средства клиента будут учитываться на специальном брокерском счете (счетах) вместе со средствами других клиентов (за исключением случаев, когда это </w:t>
            </w:r>
            <w:r w:rsidRPr="00A57797">
              <w:rPr>
                <w:rFonts w:ascii="Calibri" w:eastAsia="Times New Roman" w:hAnsi="Calibri" w:cs="Calibri"/>
                <w:iCs/>
                <w:sz w:val="12"/>
                <w:szCs w:val="12"/>
                <w:lang w:eastAsia="ru-RU"/>
              </w:rPr>
              <w:t>запрещено правовыми актами Российской Федерации)</w:t>
            </w:r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, а также о рисках, возникающих при учете средств клиента на одном счете со средствами других клиентов; информацию о возможности и условиях открытия отдельного специального брокерского счета для денежных средств клиента; информацию о возможности и условиях использования ООО «</w:t>
            </w:r>
            <w:proofErr w:type="spellStart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Кадерус</w:t>
            </w:r>
            <w:proofErr w:type="spellEnd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 xml:space="preserve"> Брокер» в собственных интересах денежных средств клиента (за исключением случаев, когда </w:t>
            </w:r>
            <w:r w:rsidRPr="00A57797">
              <w:rPr>
                <w:rFonts w:ascii="Calibri" w:eastAsia="Times New Roman" w:hAnsi="Calibri" w:cs="Calibri"/>
                <w:iCs/>
                <w:sz w:val="12"/>
                <w:szCs w:val="12"/>
                <w:lang w:eastAsia="ru-RU"/>
              </w:rPr>
              <w:t>это запрещено правовыми актами Российской Федерации)</w:t>
            </w:r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, а также о возникающих в данной связи рисках, в том числе связанных с возможностью зачисления денежных средств на собственный счет ООО «</w:t>
            </w:r>
            <w:proofErr w:type="spellStart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Кадерус</w:t>
            </w:r>
            <w:proofErr w:type="spellEnd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 xml:space="preserve"> Брокер», о безвозмездности использования ООО «</w:t>
            </w:r>
            <w:proofErr w:type="spellStart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Кадерус</w:t>
            </w:r>
            <w:proofErr w:type="spellEnd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 xml:space="preserve"> Брокер» денежных средств клиента, если иные условия не предусмотрены применяемым к клиенту тарифным планом; </w:t>
            </w:r>
          </w:p>
          <w:p w14:paraId="147EEC1D" w14:textId="77777777" w:rsidR="00A57797" w:rsidRPr="00A57797" w:rsidRDefault="00A57797" w:rsidP="00A57797">
            <w:pPr>
              <w:numPr>
                <w:ilvl w:val="0"/>
                <w:numId w:val="1"/>
              </w:numPr>
              <w:tabs>
                <w:tab w:val="left" w:pos="0"/>
                <w:tab w:val="num" w:pos="282"/>
              </w:tabs>
              <w:spacing w:after="0" w:line="240" w:lineRule="auto"/>
              <w:ind w:left="282" w:hanging="282"/>
              <w:jc w:val="both"/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факт уведомления о том, что имущество клиента, предоставленное в качестве обеспечения обязательств, допущенных к клирингу, и обязательства, возникшие из договоров, заключенных ООО «</w:t>
            </w:r>
            <w:proofErr w:type="spellStart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Кадерус</w:t>
            </w:r>
            <w:proofErr w:type="spellEnd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 xml:space="preserve"> Брокер» за счет клиента, будут учитываться клиринговой организацией совместно с имуществом и обязательствами других клиентов (за исключением случаев, когда это запрещено правовыми актами Российской Федерации), а также о рисках клиента, связанных с отсутствием отдельного учета клиринговой организацией имущества клиента, предоставленного в качестве обеспечения, и обязательств ООО «</w:t>
            </w:r>
            <w:proofErr w:type="spellStart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Кадерус</w:t>
            </w:r>
            <w:proofErr w:type="spellEnd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 xml:space="preserve"> Брокер», возникших из договоров, заключенных за счет клиента; уведомления  о возможностях и условиях ведения отдельного учета клиринговой организацией имущества клиента, предоставленного в качестве обеспечения, и обязательств ООО «</w:t>
            </w:r>
            <w:proofErr w:type="spellStart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Кадерус</w:t>
            </w:r>
            <w:proofErr w:type="spellEnd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 xml:space="preserve"> Брокер», возникших из договоров, заключенных за счет клиента;</w:t>
            </w:r>
          </w:p>
          <w:p w14:paraId="6434C1B7" w14:textId="77777777" w:rsidR="00A57797" w:rsidRPr="00A57797" w:rsidRDefault="00A57797" w:rsidP="00A57797">
            <w:pPr>
              <w:numPr>
                <w:ilvl w:val="0"/>
                <w:numId w:val="1"/>
              </w:numPr>
              <w:tabs>
                <w:tab w:val="left" w:pos="0"/>
                <w:tab w:val="num" w:pos="282"/>
              </w:tabs>
              <w:spacing w:after="0" w:line="240" w:lineRule="auto"/>
              <w:ind w:left="282" w:hanging="282"/>
              <w:jc w:val="both"/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факт уведомления о наличии у клиента прав и гарантий, установленных Федеральным законом «О защите прав и законных интересов инвесторов на рынке ценных бумаг», а также о совмещении ООО «</w:t>
            </w:r>
            <w:proofErr w:type="spellStart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Кадерус</w:t>
            </w:r>
            <w:proofErr w:type="spellEnd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 xml:space="preserve"> Брокер» депозитарной деятельности с брокерской и дилерской деятельностью на рынке ценных бумаг;</w:t>
            </w:r>
          </w:p>
          <w:p w14:paraId="56F877A0" w14:textId="77777777" w:rsidR="00A57797" w:rsidRPr="00A57797" w:rsidRDefault="00A57797" w:rsidP="00A57797">
            <w:pPr>
              <w:numPr>
                <w:ilvl w:val="0"/>
                <w:numId w:val="1"/>
              </w:numPr>
              <w:tabs>
                <w:tab w:val="left" w:pos="0"/>
                <w:tab w:val="num" w:pos="282"/>
              </w:tabs>
              <w:spacing w:after="0" w:line="240" w:lineRule="auto"/>
              <w:ind w:left="282" w:hanging="282"/>
              <w:jc w:val="both"/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 xml:space="preserve">факт уведомления о том, </w:t>
            </w:r>
            <w:proofErr w:type="gramStart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что</w:t>
            </w:r>
            <w:proofErr w:type="gramEnd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 xml:space="preserve"> если подача настоящего заявления не была предварительно согласована клиентом с ООО «</w:t>
            </w:r>
            <w:proofErr w:type="spellStart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Кадерус</w:t>
            </w:r>
            <w:proofErr w:type="spellEnd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 xml:space="preserve"> Брокер», ООО «</w:t>
            </w:r>
            <w:proofErr w:type="spellStart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Кадерус</w:t>
            </w:r>
            <w:proofErr w:type="spellEnd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 xml:space="preserve"> Брокер» вправе отказать клиенту в оказании предусмотренных настоящим заявлением услуг.</w:t>
            </w:r>
          </w:p>
          <w:p w14:paraId="15120F6B" w14:textId="77777777" w:rsidR="00A57797" w:rsidRPr="00A57797" w:rsidRDefault="00A57797" w:rsidP="00A57797">
            <w:pPr>
              <w:spacing w:before="60" w:after="0" w:line="240" w:lineRule="auto"/>
              <w:jc w:val="both"/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Все споры, разногласия, возникающие из указанных в настоящем заявлении договоров или прямо или косвенно связанные с ними, в том числе касающиеся их заключения, существования, изменения, исполнения, нарушения, расторжения, прекращения и действительности, подлежат разрешению в порядке арбитража (третейского разбирательства), администрируемого Арбитражным центром при Российском союзе промышленников и предпринимателей (РСПП) в соответствии с его правилами, действующими на дату подачи искового заявления. Вынесенное третейским судом решение будет окончательным, обязательным для сторон и не подлежит оспариванию.</w:t>
            </w:r>
          </w:p>
        </w:tc>
      </w:tr>
      <w:tr w:rsidR="00A57797" w:rsidRPr="00A57797" w14:paraId="58975FB7" w14:textId="77777777" w:rsidTr="001B242C">
        <w:trPr>
          <w:trHeight w:val="818"/>
        </w:trPr>
        <w:tc>
          <w:tcPr>
            <w:tcW w:w="10632" w:type="dxa"/>
          </w:tcPr>
          <w:p w14:paraId="48FE2327" w14:textId="77777777" w:rsidR="00A57797" w:rsidRPr="00A57797" w:rsidRDefault="00A57797" w:rsidP="00A5779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Клиент (в случае заключения депозитарного договора клиент (депонент) поручает ООО «</w:t>
            </w:r>
            <w:proofErr w:type="spellStart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Кадерус</w:t>
            </w:r>
            <w:proofErr w:type="spellEnd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 xml:space="preserve"> Брокер» осуществлять списание со счета депо и зачисление на счет депо ценных бумаг, а также осуществлять иные необходимые операции для исполнения сделок, совершенных за счет клиента (депонента) в рамках договора о брокерском обслуживании на рынке ценных бумаг между клиентом (депонентом) и ООО «</w:t>
            </w:r>
            <w:proofErr w:type="spellStart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Кадерус</w:t>
            </w:r>
            <w:proofErr w:type="spellEnd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 xml:space="preserve"> Брокер». В случае подачи клиентом (депонентом) уведомления в ООО «</w:t>
            </w:r>
            <w:proofErr w:type="spellStart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Кадерус</w:t>
            </w:r>
            <w:proofErr w:type="spellEnd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 xml:space="preserve"> Брокер» о соответствии счета депо брокерскому счету (портфелю), списание, зачисление ценных бумаг и иные операции по соответствующему счету депо должны осуществляться для исполнения сделок, совершенных в рамках договора о брокерском обслуживании на рынке ценных бумаг, заключенного между ООО «</w:t>
            </w:r>
            <w:proofErr w:type="spellStart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Кадерус</w:t>
            </w:r>
            <w:proofErr w:type="spellEnd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 xml:space="preserve"> Брокер» и клиентом, указанным в уведомлении. Состав и количество ценных бумаг, с которыми должны быть осуществлены операции для исполнения сделок; сроки осуществления операций; лица, на счета (со счетов) которых должны быть переведены ценные бумаги; а также иные необходимые сведения определяются на основании условий соответствующих сделок. Настоящее поручение действует до его отмены.</w:t>
            </w:r>
          </w:p>
        </w:tc>
      </w:tr>
      <w:tr w:rsidR="00A57797" w:rsidRPr="00A57797" w14:paraId="259F2F01" w14:textId="77777777" w:rsidTr="001B242C">
        <w:trPr>
          <w:trHeight w:val="705"/>
        </w:trPr>
        <w:tc>
          <w:tcPr>
            <w:tcW w:w="10632" w:type="dxa"/>
          </w:tcPr>
          <w:p w14:paraId="423FD36F" w14:textId="77777777" w:rsidR="00A57797" w:rsidRPr="00A57797" w:rsidRDefault="00A57797" w:rsidP="00A5779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Клиент поручает ООО «</w:t>
            </w:r>
            <w:proofErr w:type="spellStart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Кадерус</w:t>
            </w:r>
            <w:proofErr w:type="spellEnd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 xml:space="preserve"> Брокер» осуществлять списание со своего счета и зачисление на свой счет в ООО «</w:t>
            </w:r>
            <w:proofErr w:type="spellStart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Кадерус</w:t>
            </w:r>
            <w:proofErr w:type="spellEnd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 xml:space="preserve"> Брокер» ИФИ, а также осуществлять иные необходимые операции, связанные с исполнением сделок, совершенных за счет клиента в рамках договора о брокерском обслуживании на рынке ценных бумаг между клиентом и ООО «</w:t>
            </w:r>
            <w:proofErr w:type="spellStart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Кадерус</w:t>
            </w:r>
            <w:proofErr w:type="spellEnd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 xml:space="preserve"> Брокер». В случае подачи клиентом уведомления в ООО «</w:t>
            </w:r>
            <w:proofErr w:type="spellStart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Кадерус</w:t>
            </w:r>
            <w:proofErr w:type="spellEnd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 xml:space="preserve"> Брокер» о соответствии счета брокерскому счету (портфелю), списание, зачисление ИФИ и иные операции по соответствующему счету должны осуществляться в связи с исполнением сделок, совершенных в рамках договора о брокерском обслуживании на рынке ценных бумаг, заключенного между ООО «</w:t>
            </w:r>
            <w:proofErr w:type="spellStart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Кадерус</w:t>
            </w:r>
            <w:proofErr w:type="spellEnd"/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 xml:space="preserve"> Брокер» и клиентом, указанным в уведомлении. Состав и количество ИФИ, с которыми должны быть осуществлены операции; сроки осуществления операций; а также иные необходимые сведения определяются на основании условий соответствующих сделок. Настоящее поручение действует до его отмены.</w:t>
            </w:r>
          </w:p>
        </w:tc>
      </w:tr>
    </w:tbl>
    <w:p w14:paraId="66DAFF7E" w14:textId="77777777" w:rsidR="00A57797" w:rsidRPr="00A57797" w:rsidRDefault="00A57797" w:rsidP="00A57797">
      <w:pPr>
        <w:spacing w:after="0" w:line="240" w:lineRule="auto"/>
        <w:jc w:val="both"/>
        <w:rPr>
          <w:rFonts w:ascii="Calibri" w:eastAsia="Times New Roman" w:hAnsi="Calibri" w:cs="Calibri"/>
          <w:sz w:val="12"/>
          <w:szCs w:val="12"/>
          <w:lang w:eastAsia="ru-RU"/>
        </w:rPr>
      </w:pPr>
    </w:p>
    <w:tbl>
      <w:tblPr>
        <w:tblW w:w="106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74"/>
        <w:gridCol w:w="1962"/>
        <w:gridCol w:w="690"/>
        <w:gridCol w:w="1638"/>
        <w:gridCol w:w="1500"/>
        <w:gridCol w:w="2244"/>
      </w:tblGrid>
      <w:tr w:rsidR="00A57797" w:rsidRPr="00A57797" w14:paraId="62793B75" w14:textId="77777777" w:rsidTr="001B242C">
        <w:tc>
          <w:tcPr>
            <w:tcW w:w="10608" w:type="dxa"/>
            <w:gridSpan w:val="6"/>
          </w:tcPr>
          <w:p w14:paraId="7A888592" w14:textId="77777777" w:rsidR="00A57797" w:rsidRPr="00A57797" w:rsidRDefault="00A57797" w:rsidP="00A577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b/>
                <w:sz w:val="14"/>
                <w:szCs w:val="14"/>
                <w:lang w:eastAsia="ru-RU"/>
              </w:rPr>
              <w:t>Сведения о клиенте</w:t>
            </w:r>
          </w:p>
        </w:tc>
      </w:tr>
      <w:tr w:rsidR="00A57797" w:rsidRPr="00A57797" w14:paraId="351D0389" w14:textId="77777777" w:rsidTr="001B242C">
        <w:trPr>
          <w:trHeight w:val="185"/>
        </w:trPr>
        <w:tc>
          <w:tcPr>
            <w:tcW w:w="2574" w:type="dxa"/>
          </w:tcPr>
          <w:p w14:paraId="5FEAD670" w14:textId="77777777" w:rsidR="00A57797" w:rsidRPr="00A57797" w:rsidRDefault="00A57797" w:rsidP="00A57797">
            <w:pPr>
              <w:spacing w:after="0" w:line="240" w:lineRule="auto"/>
              <w:ind w:left="-30"/>
              <w:jc w:val="both"/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  <w:t>Полное наименование</w:t>
            </w:r>
          </w:p>
        </w:tc>
        <w:tc>
          <w:tcPr>
            <w:tcW w:w="8034" w:type="dxa"/>
            <w:gridSpan w:val="5"/>
          </w:tcPr>
          <w:p w14:paraId="4F3165D9" w14:textId="77777777" w:rsidR="00A57797" w:rsidRPr="00A57797" w:rsidRDefault="00A57797" w:rsidP="00A5779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</w:pPr>
          </w:p>
        </w:tc>
      </w:tr>
      <w:tr w:rsidR="00A57797" w:rsidRPr="00A57797" w14:paraId="7876291C" w14:textId="77777777" w:rsidTr="001B242C">
        <w:trPr>
          <w:trHeight w:val="185"/>
        </w:trPr>
        <w:tc>
          <w:tcPr>
            <w:tcW w:w="2574" w:type="dxa"/>
          </w:tcPr>
          <w:p w14:paraId="351D601C" w14:textId="77777777" w:rsidR="00A57797" w:rsidRPr="00A57797" w:rsidRDefault="00A57797" w:rsidP="00A57797">
            <w:pPr>
              <w:spacing w:after="0" w:line="240" w:lineRule="auto"/>
              <w:ind w:left="-30"/>
              <w:jc w:val="both"/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  <w:t>Сокращенное наименование</w:t>
            </w:r>
          </w:p>
        </w:tc>
        <w:tc>
          <w:tcPr>
            <w:tcW w:w="8034" w:type="dxa"/>
            <w:gridSpan w:val="5"/>
          </w:tcPr>
          <w:p w14:paraId="42FCD4A2" w14:textId="77777777" w:rsidR="00A57797" w:rsidRPr="00A57797" w:rsidRDefault="00A57797" w:rsidP="00A57797">
            <w:pPr>
              <w:spacing w:after="0" w:line="240" w:lineRule="auto"/>
              <w:ind w:left="-30"/>
              <w:jc w:val="both"/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</w:pPr>
          </w:p>
        </w:tc>
      </w:tr>
      <w:tr w:rsidR="00A57797" w:rsidRPr="00A57797" w14:paraId="39D9A48D" w14:textId="77777777" w:rsidTr="001B242C">
        <w:trPr>
          <w:trHeight w:val="185"/>
        </w:trPr>
        <w:tc>
          <w:tcPr>
            <w:tcW w:w="2574" w:type="dxa"/>
          </w:tcPr>
          <w:p w14:paraId="68140457" w14:textId="77777777" w:rsidR="00A57797" w:rsidRPr="00A57797" w:rsidRDefault="00A57797" w:rsidP="00A57797">
            <w:pPr>
              <w:spacing w:after="0" w:line="240" w:lineRule="auto"/>
              <w:ind w:left="-30"/>
              <w:jc w:val="both"/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  <w:t>ОГРН</w:t>
            </w:r>
          </w:p>
        </w:tc>
        <w:tc>
          <w:tcPr>
            <w:tcW w:w="2652" w:type="dxa"/>
            <w:gridSpan w:val="2"/>
          </w:tcPr>
          <w:p w14:paraId="62F77078" w14:textId="77777777" w:rsidR="00A57797" w:rsidRPr="00A57797" w:rsidRDefault="00A57797" w:rsidP="00A57797">
            <w:pPr>
              <w:spacing w:after="0" w:line="240" w:lineRule="auto"/>
              <w:ind w:left="-30"/>
              <w:jc w:val="both"/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</w:pPr>
          </w:p>
        </w:tc>
        <w:tc>
          <w:tcPr>
            <w:tcW w:w="1638" w:type="dxa"/>
          </w:tcPr>
          <w:p w14:paraId="49A296E4" w14:textId="77777777" w:rsidR="00A57797" w:rsidRPr="00A57797" w:rsidRDefault="00A57797" w:rsidP="00A57797">
            <w:pPr>
              <w:spacing w:after="0" w:line="240" w:lineRule="auto"/>
              <w:ind w:left="-30"/>
              <w:jc w:val="both"/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  <w:t>Дата регистрации</w:t>
            </w:r>
          </w:p>
        </w:tc>
        <w:tc>
          <w:tcPr>
            <w:tcW w:w="3744" w:type="dxa"/>
            <w:gridSpan w:val="2"/>
          </w:tcPr>
          <w:p w14:paraId="7D8386DC" w14:textId="77777777" w:rsidR="00A57797" w:rsidRPr="00A57797" w:rsidRDefault="00A57797" w:rsidP="00A57797">
            <w:pPr>
              <w:spacing w:after="0" w:line="240" w:lineRule="auto"/>
              <w:ind w:left="-30"/>
              <w:jc w:val="both"/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</w:pPr>
          </w:p>
        </w:tc>
      </w:tr>
      <w:tr w:rsidR="00A57797" w:rsidRPr="00A57797" w14:paraId="04E0B9E7" w14:textId="77777777" w:rsidTr="001B242C">
        <w:trPr>
          <w:trHeight w:val="185"/>
        </w:trPr>
        <w:tc>
          <w:tcPr>
            <w:tcW w:w="2574" w:type="dxa"/>
          </w:tcPr>
          <w:p w14:paraId="6D8A8E29" w14:textId="77777777" w:rsidR="00A57797" w:rsidRPr="00A57797" w:rsidRDefault="00A57797" w:rsidP="00A57797">
            <w:pPr>
              <w:spacing w:after="0" w:line="240" w:lineRule="auto"/>
              <w:ind w:left="-30"/>
              <w:jc w:val="both"/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  <w:t>Место регистрации (страна)</w:t>
            </w:r>
          </w:p>
        </w:tc>
        <w:tc>
          <w:tcPr>
            <w:tcW w:w="8034" w:type="dxa"/>
            <w:gridSpan w:val="5"/>
          </w:tcPr>
          <w:p w14:paraId="777CAC09" w14:textId="77777777" w:rsidR="00A57797" w:rsidRPr="00A57797" w:rsidRDefault="00A57797" w:rsidP="00A57797">
            <w:pPr>
              <w:spacing w:after="0" w:line="240" w:lineRule="auto"/>
              <w:ind w:left="-30"/>
              <w:jc w:val="both"/>
              <w:rPr>
                <w:rFonts w:ascii="Calibri" w:eastAsia="Times New Roman" w:hAnsi="Calibri" w:cs="Calibri"/>
                <w:color w:val="FF0000"/>
                <w:sz w:val="12"/>
                <w:szCs w:val="12"/>
                <w:lang w:eastAsia="ru-RU"/>
              </w:rPr>
            </w:pPr>
          </w:p>
        </w:tc>
      </w:tr>
      <w:tr w:rsidR="00A57797" w:rsidRPr="00A57797" w14:paraId="64A60E3C" w14:textId="77777777" w:rsidTr="001B242C">
        <w:trPr>
          <w:trHeight w:val="185"/>
        </w:trPr>
        <w:tc>
          <w:tcPr>
            <w:tcW w:w="2574" w:type="dxa"/>
          </w:tcPr>
          <w:p w14:paraId="3C48844C" w14:textId="77777777" w:rsidR="00A57797" w:rsidRPr="00A57797" w:rsidRDefault="00A57797" w:rsidP="00A57797">
            <w:pPr>
              <w:spacing w:after="0" w:line="240" w:lineRule="auto"/>
              <w:ind w:left="-30" w:right="-30"/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  <w:t>Место нахождения, указанное в учредительных документах</w:t>
            </w:r>
          </w:p>
        </w:tc>
        <w:tc>
          <w:tcPr>
            <w:tcW w:w="8034" w:type="dxa"/>
            <w:gridSpan w:val="5"/>
          </w:tcPr>
          <w:p w14:paraId="450825FC" w14:textId="77777777" w:rsidR="00A57797" w:rsidRPr="00A57797" w:rsidRDefault="00A57797" w:rsidP="00A57797">
            <w:pPr>
              <w:spacing w:after="0" w:line="240" w:lineRule="auto"/>
              <w:ind w:left="-30"/>
              <w:jc w:val="both"/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</w:pPr>
          </w:p>
        </w:tc>
      </w:tr>
      <w:tr w:rsidR="00A57797" w:rsidRPr="00A57797" w14:paraId="544E33C8" w14:textId="77777777" w:rsidTr="001B242C">
        <w:trPr>
          <w:trHeight w:val="185"/>
        </w:trPr>
        <w:tc>
          <w:tcPr>
            <w:tcW w:w="2574" w:type="dxa"/>
          </w:tcPr>
          <w:p w14:paraId="517CFDE5" w14:textId="77777777" w:rsidR="00A57797" w:rsidRPr="00A57797" w:rsidRDefault="00A57797" w:rsidP="00A57797">
            <w:pPr>
              <w:spacing w:after="0" w:line="240" w:lineRule="auto"/>
              <w:ind w:left="-30"/>
              <w:jc w:val="both"/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  <w:t>Адрес для отправки</w:t>
            </w:r>
          </w:p>
          <w:p w14:paraId="43251BD3" w14:textId="77777777" w:rsidR="00A57797" w:rsidRPr="00A57797" w:rsidRDefault="00A57797" w:rsidP="00A57797">
            <w:pPr>
              <w:spacing w:after="0" w:line="240" w:lineRule="auto"/>
              <w:ind w:left="-30"/>
              <w:jc w:val="both"/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  <w:t>корреспонденции</w:t>
            </w:r>
          </w:p>
        </w:tc>
        <w:tc>
          <w:tcPr>
            <w:tcW w:w="8034" w:type="dxa"/>
            <w:gridSpan w:val="5"/>
          </w:tcPr>
          <w:p w14:paraId="01A93B22" w14:textId="77777777" w:rsidR="00A57797" w:rsidRPr="00A57797" w:rsidRDefault="00A57797" w:rsidP="00A57797">
            <w:pPr>
              <w:spacing w:after="0" w:line="240" w:lineRule="auto"/>
              <w:ind w:left="-30"/>
              <w:jc w:val="both"/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</w:pPr>
          </w:p>
        </w:tc>
      </w:tr>
      <w:tr w:rsidR="00A57797" w:rsidRPr="00A57797" w14:paraId="52185AE5" w14:textId="77777777" w:rsidTr="001B242C">
        <w:trPr>
          <w:trHeight w:val="190"/>
        </w:trPr>
        <w:tc>
          <w:tcPr>
            <w:tcW w:w="2574" w:type="dxa"/>
          </w:tcPr>
          <w:p w14:paraId="572574D8" w14:textId="77777777" w:rsidR="00A57797" w:rsidRPr="00A57797" w:rsidRDefault="00A57797" w:rsidP="00A57797">
            <w:pPr>
              <w:spacing w:after="0" w:line="240" w:lineRule="auto"/>
              <w:ind w:left="-30" w:right="-108"/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  <w:t xml:space="preserve">ИНН / код </w:t>
            </w:r>
            <w:proofErr w:type="spellStart"/>
            <w:r w:rsidRPr="00A57797"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  <w:t>иностр</w:t>
            </w:r>
            <w:proofErr w:type="spellEnd"/>
            <w:r w:rsidRPr="00A57797"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  <w:t>. организации</w:t>
            </w:r>
          </w:p>
        </w:tc>
        <w:tc>
          <w:tcPr>
            <w:tcW w:w="8034" w:type="dxa"/>
            <w:gridSpan w:val="5"/>
          </w:tcPr>
          <w:p w14:paraId="53006B11" w14:textId="77777777" w:rsidR="00A57797" w:rsidRPr="00A57797" w:rsidRDefault="00A57797" w:rsidP="00A5779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</w:pPr>
          </w:p>
        </w:tc>
      </w:tr>
      <w:tr w:rsidR="00A57797" w:rsidRPr="00A57797" w14:paraId="31DF1A64" w14:textId="77777777" w:rsidTr="001B242C">
        <w:trPr>
          <w:trHeight w:val="190"/>
        </w:trPr>
        <w:tc>
          <w:tcPr>
            <w:tcW w:w="2574" w:type="dxa"/>
          </w:tcPr>
          <w:p w14:paraId="0B63D65E" w14:textId="77777777" w:rsidR="00A57797" w:rsidRPr="00A57797" w:rsidRDefault="00A57797" w:rsidP="00A57797">
            <w:pPr>
              <w:spacing w:after="0" w:line="240" w:lineRule="auto"/>
              <w:ind w:left="-30"/>
              <w:jc w:val="both"/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  <w:t>Контактные телефоны</w:t>
            </w:r>
          </w:p>
        </w:tc>
        <w:tc>
          <w:tcPr>
            <w:tcW w:w="1962" w:type="dxa"/>
          </w:tcPr>
          <w:p w14:paraId="10237917" w14:textId="77777777" w:rsidR="00A57797" w:rsidRPr="00A57797" w:rsidRDefault="00A57797" w:rsidP="00A5779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</w:pPr>
          </w:p>
        </w:tc>
        <w:tc>
          <w:tcPr>
            <w:tcW w:w="3828" w:type="dxa"/>
            <w:gridSpan w:val="3"/>
          </w:tcPr>
          <w:p w14:paraId="3BE92FE3" w14:textId="77777777" w:rsidR="00A57797" w:rsidRPr="00A57797" w:rsidRDefault="00A57797" w:rsidP="00A57797">
            <w:pPr>
              <w:spacing w:after="0" w:line="240" w:lineRule="auto"/>
              <w:ind w:left="-30"/>
              <w:jc w:val="both"/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  <w:t>Номер мобильного телефона для получения СМС - уведомлений</w:t>
            </w:r>
          </w:p>
        </w:tc>
        <w:tc>
          <w:tcPr>
            <w:tcW w:w="2244" w:type="dxa"/>
          </w:tcPr>
          <w:p w14:paraId="7BDEEAB5" w14:textId="77777777" w:rsidR="00A57797" w:rsidRPr="00A57797" w:rsidRDefault="00A57797" w:rsidP="00A5779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</w:pPr>
          </w:p>
        </w:tc>
      </w:tr>
      <w:tr w:rsidR="00A57797" w:rsidRPr="00A57797" w14:paraId="2A707CB0" w14:textId="77777777" w:rsidTr="001B242C">
        <w:trPr>
          <w:trHeight w:val="190"/>
        </w:trPr>
        <w:tc>
          <w:tcPr>
            <w:tcW w:w="2574" w:type="dxa"/>
          </w:tcPr>
          <w:p w14:paraId="570432E3" w14:textId="77777777" w:rsidR="00A57797" w:rsidRPr="00A57797" w:rsidRDefault="00A57797" w:rsidP="00A57797">
            <w:pPr>
              <w:spacing w:after="0" w:line="240" w:lineRule="auto"/>
              <w:ind w:left="-30"/>
              <w:jc w:val="both"/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  <w:t>Электронная почта</w:t>
            </w:r>
          </w:p>
        </w:tc>
        <w:tc>
          <w:tcPr>
            <w:tcW w:w="8034" w:type="dxa"/>
            <w:gridSpan w:val="5"/>
          </w:tcPr>
          <w:p w14:paraId="57211005" w14:textId="77777777" w:rsidR="00A57797" w:rsidRPr="00A57797" w:rsidRDefault="00A57797" w:rsidP="00A5779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</w:pPr>
          </w:p>
        </w:tc>
      </w:tr>
    </w:tbl>
    <w:p w14:paraId="386C42DB" w14:textId="77777777" w:rsidR="00A57797" w:rsidRPr="00A57797" w:rsidRDefault="00A57797" w:rsidP="00A57797">
      <w:pPr>
        <w:tabs>
          <w:tab w:val="left" w:pos="312"/>
        </w:tabs>
        <w:spacing w:after="0" w:line="240" w:lineRule="auto"/>
        <w:ind w:left="312" w:hanging="312"/>
        <w:rPr>
          <w:rFonts w:ascii="Calibri" w:eastAsia="Times New Roman" w:hAnsi="Calibri" w:cs="Calibri"/>
          <w:sz w:val="4"/>
          <w:szCs w:val="12"/>
          <w:lang w:eastAsia="ru-RU"/>
        </w:rPr>
      </w:pPr>
    </w:p>
    <w:tbl>
      <w:tblPr>
        <w:tblW w:w="106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3"/>
        <w:gridCol w:w="574"/>
        <w:gridCol w:w="429"/>
        <w:gridCol w:w="1249"/>
        <w:gridCol w:w="1607"/>
        <w:gridCol w:w="1749"/>
        <w:gridCol w:w="240"/>
        <w:gridCol w:w="1629"/>
        <w:gridCol w:w="253"/>
        <w:gridCol w:w="254"/>
        <w:gridCol w:w="253"/>
        <w:gridCol w:w="254"/>
        <w:gridCol w:w="253"/>
        <w:gridCol w:w="254"/>
        <w:gridCol w:w="253"/>
        <w:gridCol w:w="254"/>
      </w:tblGrid>
      <w:tr w:rsidR="00A57797" w:rsidRPr="00A57797" w14:paraId="02AB87C7" w14:textId="77777777" w:rsidTr="001B242C">
        <w:tc>
          <w:tcPr>
            <w:tcW w:w="6711" w:type="dxa"/>
            <w:gridSpan w:val="6"/>
          </w:tcPr>
          <w:p w14:paraId="2C4D9A03" w14:textId="77777777" w:rsidR="00A57797" w:rsidRPr="00A57797" w:rsidRDefault="00A57797" w:rsidP="00A57797">
            <w:pPr>
              <w:tabs>
                <w:tab w:val="left" w:pos="312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  <w:t>Сведения о лице, подписывающем заявление</w:t>
            </w:r>
          </w:p>
        </w:tc>
        <w:tc>
          <w:tcPr>
            <w:tcW w:w="240" w:type="dxa"/>
            <w:vMerge w:val="restart"/>
            <w:tcBorders>
              <w:top w:val="nil"/>
              <w:bottom w:val="nil"/>
            </w:tcBorders>
          </w:tcPr>
          <w:p w14:paraId="381A1F63" w14:textId="77777777" w:rsidR="00A57797" w:rsidRPr="00A57797" w:rsidRDefault="00A57797" w:rsidP="00A577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sz w:val="12"/>
                <w:szCs w:val="12"/>
              </w:rPr>
            </w:pPr>
          </w:p>
        </w:tc>
        <w:tc>
          <w:tcPr>
            <w:tcW w:w="3657" w:type="dxa"/>
            <w:gridSpan w:val="9"/>
          </w:tcPr>
          <w:p w14:paraId="5D32D894" w14:textId="77777777" w:rsidR="00A57797" w:rsidRPr="00A57797" w:rsidRDefault="00A57797" w:rsidP="00A577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sz w:val="12"/>
                <w:szCs w:val="12"/>
              </w:rPr>
            </w:pPr>
            <w:r w:rsidRPr="00A57797">
              <w:rPr>
                <w:rFonts w:ascii="Calibri" w:eastAsia="Times New Roman" w:hAnsi="Calibri" w:cs="Calibri"/>
                <w:b/>
                <w:sz w:val="12"/>
                <w:szCs w:val="12"/>
              </w:rPr>
              <w:t>Заполняется ООО «</w:t>
            </w:r>
            <w:proofErr w:type="spellStart"/>
            <w:r w:rsidRPr="00A57797">
              <w:rPr>
                <w:rFonts w:ascii="Calibri" w:eastAsia="Times New Roman" w:hAnsi="Calibri" w:cs="Calibri"/>
                <w:b/>
                <w:sz w:val="12"/>
                <w:szCs w:val="12"/>
              </w:rPr>
              <w:t>Кадерус</w:t>
            </w:r>
            <w:proofErr w:type="spellEnd"/>
            <w:r w:rsidRPr="00A57797">
              <w:rPr>
                <w:rFonts w:ascii="Calibri" w:eastAsia="Times New Roman" w:hAnsi="Calibri" w:cs="Calibri"/>
                <w:b/>
                <w:sz w:val="12"/>
                <w:szCs w:val="12"/>
              </w:rPr>
              <w:t xml:space="preserve"> Брокер»</w:t>
            </w:r>
          </w:p>
        </w:tc>
      </w:tr>
      <w:tr w:rsidR="00A57797" w:rsidRPr="00A57797" w14:paraId="785CAD4A" w14:textId="77777777" w:rsidTr="001B242C">
        <w:trPr>
          <w:trHeight w:val="183"/>
        </w:trPr>
        <w:tc>
          <w:tcPr>
            <w:tcW w:w="1103" w:type="dxa"/>
          </w:tcPr>
          <w:p w14:paraId="098480E3" w14:textId="77777777" w:rsidR="00A57797" w:rsidRPr="00A57797" w:rsidRDefault="00A57797" w:rsidP="00A57797">
            <w:pPr>
              <w:tabs>
                <w:tab w:val="left" w:pos="312"/>
              </w:tabs>
              <w:spacing w:after="0" w:line="240" w:lineRule="auto"/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  <w:t>ФИО</w:t>
            </w:r>
          </w:p>
        </w:tc>
        <w:tc>
          <w:tcPr>
            <w:tcW w:w="5608" w:type="dxa"/>
            <w:gridSpan w:val="5"/>
          </w:tcPr>
          <w:p w14:paraId="3B5142A9" w14:textId="77777777" w:rsidR="00A57797" w:rsidRPr="00A57797" w:rsidRDefault="00A57797" w:rsidP="00A57797">
            <w:pPr>
              <w:tabs>
                <w:tab w:val="left" w:pos="312"/>
              </w:tabs>
              <w:spacing w:after="0" w:line="240" w:lineRule="auto"/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</w:pPr>
          </w:p>
        </w:tc>
        <w:tc>
          <w:tcPr>
            <w:tcW w:w="240" w:type="dxa"/>
            <w:vMerge/>
            <w:tcBorders>
              <w:bottom w:val="nil"/>
            </w:tcBorders>
          </w:tcPr>
          <w:p w14:paraId="37770EB9" w14:textId="77777777" w:rsidR="00A57797" w:rsidRPr="00A57797" w:rsidRDefault="00A57797" w:rsidP="00A57797">
            <w:pPr>
              <w:spacing w:after="0" w:line="240" w:lineRule="auto"/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</w:pPr>
          </w:p>
        </w:tc>
        <w:tc>
          <w:tcPr>
            <w:tcW w:w="1629" w:type="dxa"/>
            <w:vMerge w:val="restart"/>
          </w:tcPr>
          <w:p w14:paraId="6D7CA8BE" w14:textId="77777777" w:rsidR="00A57797" w:rsidRPr="00A57797" w:rsidRDefault="00A57797" w:rsidP="00A57797">
            <w:pPr>
              <w:spacing w:after="0" w:line="240" w:lineRule="auto"/>
              <w:ind w:left="-39" w:right="-30"/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  <w:t>№ / код брокерского договора (брокерского счета)/ депозитарного договора/ соглашения об ЭДО/Договора об учете ИФИ (счета)</w:t>
            </w:r>
          </w:p>
        </w:tc>
        <w:tc>
          <w:tcPr>
            <w:tcW w:w="253" w:type="dxa"/>
            <w:vMerge w:val="restart"/>
          </w:tcPr>
          <w:p w14:paraId="6262838C" w14:textId="77777777" w:rsidR="00A57797" w:rsidRPr="00A57797" w:rsidRDefault="00A57797" w:rsidP="00A577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sz w:val="12"/>
                <w:szCs w:val="12"/>
              </w:rPr>
            </w:pPr>
          </w:p>
        </w:tc>
        <w:tc>
          <w:tcPr>
            <w:tcW w:w="254" w:type="dxa"/>
            <w:vMerge w:val="restart"/>
          </w:tcPr>
          <w:p w14:paraId="785D7BE1" w14:textId="77777777" w:rsidR="00A57797" w:rsidRPr="00A57797" w:rsidRDefault="00A57797" w:rsidP="00A577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sz w:val="12"/>
                <w:szCs w:val="12"/>
              </w:rPr>
            </w:pPr>
          </w:p>
        </w:tc>
        <w:tc>
          <w:tcPr>
            <w:tcW w:w="253" w:type="dxa"/>
            <w:vMerge w:val="restart"/>
          </w:tcPr>
          <w:p w14:paraId="356667C4" w14:textId="77777777" w:rsidR="00A57797" w:rsidRPr="00A57797" w:rsidRDefault="00A57797" w:rsidP="00A577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sz w:val="12"/>
                <w:szCs w:val="12"/>
              </w:rPr>
            </w:pPr>
          </w:p>
        </w:tc>
        <w:tc>
          <w:tcPr>
            <w:tcW w:w="254" w:type="dxa"/>
            <w:vMerge w:val="restart"/>
          </w:tcPr>
          <w:p w14:paraId="34A79BF3" w14:textId="77777777" w:rsidR="00A57797" w:rsidRPr="00A57797" w:rsidRDefault="00A57797" w:rsidP="00A577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sz w:val="12"/>
                <w:szCs w:val="12"/>
              </w:rPr>
            </w:pPr>
          </w:p>
        </w:tc>
        <w:tc>
          <w:tcPr>
            <w:tcW w:w="253" w:type="dxa"/>
            <w:vMerge w:val="restart"/>
          </w:tcPr>
          <w:p w14:paraId="1D1699A3" w14:textId="77777777" w:rsidR="00A57797" w:rsidRPr="00A57797" w:rsidRDefault="00A57797" w:rsidP="00A577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sz w:val="12"/>
                <w:szCs w:val="12"/>
              </w:rPr>
            </w:pPr>
          </w:p>
        </w:tc>
        <w:tc>
          <w:tcPr>
            <w:tcW w:w="254" w:type="dxa"/>
            <w:vMerge w:val="restart"/>
          </w:tcPr>
          <w:p w14:paraId="0710CC53" w14:textId="77777777" w:rsidR="00A57797" w:rsidRPr="00A57797" w:rsidRDefault="00A57797" w:rsidP="00A577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sz w:val="12"/>
                <w:szCs w:val="12"/>
              </w:rPr>
            </w:pPr>
          </w:p>
        </w:tc>
        <w:tc>
          <w:tcPr>
            <w:tcW w:w="253" w:type="dxa"/>
            <w:vMerge w:val="restart"/>
          </w:tcPr>
          <w:p w14:paraId="2A7B31EB" w14:textId="77777777" w:rsidR="00A57797" w:rsidRPr="00A57797" w:rsidRDefault="00A57797" w:rsidP="00A577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sz w:val="12"/>
                <w:szCs w:val="12"/>
              </w:rPr>
            </w:pPr>
          </w:p>
        </w:tc>
        <w:tc>
          <w:tcPr>
            <w:tcW w:w="254" w:type="dxa"/>
            <w:vMerge w:val="restart"/>
          </w:tcPr>
          <w:p w14:paraId="5336CCD3" w14:textId="77777777" w:rsidR="00A57797" w:rsidRPr="00A57797" w:rsidRDefault="00A57797" w:rsidP="00A577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sz w:val="12"/>
                <w:szCs w:val="12"/>
              </w:rPr>
            </w:pPr>
          </w:p>
        </w:tc>
      </w:tr>
      <w:tr w:rsidR="00A57797" w:rsidRPr="00A57797" w14:paraId="14C372D0" w14:textId="77777777" w:rsidTr="001B242C">
        <w:trPr>
          <w:trHeight w:val="178"/>
        </w:trPr>
        <w:tc>
          <w:tcPr>
            <w:tcW w:w="1103" w:type="dxa"/>
            <w:tcBorders>
              <w:bottom w:val="single" w:sz="4" w:space="0" w:color="auto"/>
            </w:tcBorders>
          </w:tcPr>
          <w:p w14:paraId="1670ECA4" w14:textId="77777777" w:rsidR="00A57797" w:rsidRPr="00A57797" w:rsidRDefault="00A57797" w:rsidP="00A57797">
            <w:pPr>
              <w:tabs>
                <w:tab w:val="left" w:pos="312"/>
              </w:tabs>
              <w:spacing w:after="0" w:line="240" w:lineRule="auto"/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  <w:t>Должность</w:t>
            </w:r>
          </w:p>
        </w:tc>
        <w:tc>
          <w:tcPr>
            <w:tcW w:w="5608" w:type="dxa"/>
            <w:gridSpan w:val="5"/>
            <w:tcBorders>
              <w:bottom w:val="single" w:sz="4" w:space="0" w:color="auto"/>
            </w:tcBorders>
          </w:tcPr>
          <w:p w14:paraId="053313B1" w14:textId="77777777" w:rsidR="00A57797" w:rsidRPr="00A57797" w:rsidRDefault="00A57797" w:rsidP="00A57797">
            <w:pPr>
              <w:tabs>
                <w:tab w:val="left" w:pos="312"/>
              </w:tabs>
              <w:spacing w:after="0" w:line="240" w:lineRule="auto"/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</w:pPr>
          </w:p>
        </w:tc>
        <w:tc>
          <w:tcPr>
            <w:tcW w:w="240" w:type="dxa"/>
            <w:vMerge/>
            <w:tcBorders>
              <w:bottom w:val="nil"/>
            </w:tcBorders>
          </w:tcPr>
          <w:p w14:paraId="1387250D" w14:textId="77777777" w:rsidR="00A57797" w:rsidRPr="00A57797" w:rsidRDefault="00A57797" w:rsidP="00A57797">
            <w:pPr>
              <w:spacing w:after="0" w:line="240" w:lineRule="auto"/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</w:pPr>
          </w:p>
        </w:tc>
        <w:tc>
          <w:tcPr>
            <w:tcW w:w="1629" w:type="dxa"/>
            <w:vMerge/>
          </w:tcPr>
          <w:p w14:paraId="42A51C98" w14:textId="77777777" w:rsidR="00A57797" w:rsidRPr="00A57797" w:rsidRDefault="00A57797" w:rsidP="00A57797">
            <w:pPr>
              <w:spacing w:after="0" w:line="240" w:lineRule="auto"/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</w:pPr>
          </w:p>
        </w:tc>
        <w:tc>
          <w:tcPr>
            <w:tcW w:w="253" w:type="dxa"/>
            <w:vMerge/>
          </w:tcPr>
          <w:p w14:paraId="5346C7E3" w14:textId="77777777" w:rsidR="00A57797" w:rsidRPr="00A57797" w:rsidRDefault="00A57797" w:rsidP="00A577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sz w:val="12"/>
                <w:szCs w:val="12"/>
              </w:rPr>
            </w:pPr>
          </w:p>
        </w:tc>
        <w:tc>
          <w:tcPr>
            <w:tcW w:w="254" w:type="dxa"/>
            <w:vMerge/>
          </w:tcPr>
          <w:p w14:paraId="5D6F330B" w14:textId="77777777" w:rsidR="00A57797" w:rsidRPr="00A57797" w:rsidRDefault="00A57797" w:rsidP="00A577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sz w:val="12"/>
                <w:szCs w:val="12"/>
              </w:rPr>
            </w:pPr>
          </w:p>
        </w:tc>
        <w:tc>
          <w:tcPr>
            <w:tcW w:w="253" w:type="dxa"/>
            <w:vMerge/>
          </w:tcPr>
          <w:p w14:paraId="0E061633" w14:textId="77777777" w:rsidR="00A57797" w:rsidRPr="00A57797" w:rsidRDefault="00A57797" w:rsidP="00A577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sz w:val="12"/>
                <w:szCs w:val="12"/>
              </w:rPr>
            </w:pPr>
          </w:p>
        </w:tc>
        <w:tc>
          <w:tcPr>
            <w:tcW w:w="254" w:type="dxa"/>
            <w:vMerge/>
          </w:tcPr>
          <w:p w14:paraId="1A8E56E8" w14:textId="77777777" w:rsidR="00A57797" w:rsidRPr="00A57797" w:rsidRDefault="00A57797" w:rsidP="00A577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sz w:val="12"/>
                <w:szCs w:val="12"/>
              </w:rPr>
            </w:pPr>
          </w:p>
        </w:tc>
        <w:tc>
          <w:tcPr>
            <w:tcW w:w="253" w:type="dxa"/>
            <w:vMerge/>
          </w:tcPr>
          <w:p w14:paraId="61A8B47B" w14:textId="77777777" w:rsidR="00A57797" w:rsidRPr="00A57797" w:rsidRDefault="00A57797" w:rsidP="00A577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sz w:val="12"/>
                <w:szCs w:val="12"/>
              </w:rPr>
            </w:pPr>
          </w:p>
        </w:tc>
        <w:tc>
          <w:tcPr>
            <w:tcW w:w="254" w:type="dxa"/>
            <w:vMerge/>
          </w:tcPr>
          <w:p w14:paraId="2020C759" w14:textId="77777777" w:rsidR="00A57797" w:rsidRPr="00A57797" w:rsidRDefault="00A57797" w:rsidP="00A577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sz w:val="12"/>
                <w:szCs w:val="12"/>
              </w:rPr>
            </w:pPr>
          </w:p>
        </w:tc>
        <w:tc>
          <w:tcPr>
            <w:tcW w:w="253" w:type="dxa"/>
            <w:vMerge/>
          </w:tcPr>
          <w:p w14:paraId="248C740E" w14:textId="77777777" w:rsidR="00A57797" w:rsidRPr="00A57797" w:rsidRDefault="00A57797" w:rsidP="00A577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sz w:val="12"/>
                <w:szCs w:val="12"/>
              </w:rPr>
            </w:pPr>
          </w:p>
        </w:tc>
        <w:tc>
          <w:tcPr>
            <w:tcW w:w="254" w:type="dxa"/>
            <w:vMerge/>
          </w:tcPr>
          <w:p w14:paraId="3B4D04F1" w14:textId="77777777" w:rsidR="00A57797" w:rsidRPr="00A57797" w:rsidRDefault="00A57797" w:rsidP="00A577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sz w:val="12"/>
                <w:szCs w:val="12"/>
              </w:rPr>
            </w:pPr>
          </w:p>
        </w:tc>
      </w:tr>
      <w:tr w:rsidR="00A57797" w:rsidRPr="00A57797" w14:paraId="62018CEB" w14:textId="77777777" w:rsidTr="001B242C">
        <w:trPr>
          <w:trHeight w:val="199"/>
        </w:trPr>
        <w:tc>
          <w:tcPr>
            <w:tcW w:w="2106" w:type="dxa"/>
            <w:gridSpan w:val="3"/>
            <w:tcBorders>
              <w:bottom w:val="single" w:sz="4" w:space="0" w:color="auto"/>
            </w:tcBorders>
          </w:tcPr>
          <w:p w14:paraId="29184033" w14:textId="77777777" w:rsidR="00A57797" w:rsidRPr="00A57797" w:rsidRDefault="00A57797" w:rsidP="00A57797">
            <w:pPr>
              <w:tabs>
                <w:tab w:val="left" w:pos="312"/>
              </w:tabs>
              <w:spacing w:after="0" w:line="240" w:lineRule="auto"/>
              <w:ind w:right="-108"/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  <w:t>Основание полномочий</w:t>
            </w:r>
          </w:p>
        </w:tc>
        <w:tc>
          <w:tcPr>
            <w:tcW w:w="4605" w:type="dxa"/>
            <w:gridSpan w:val="3"/>
            <w:tcBorders>
              <w:bottom w:val="single" w:sz="4" w:space="0" w:color="auto"/>
            </w:tcBorders>
          </w:tcPr>
          <w:p w14:paraId="2263A591" w14:textId="77777777" w:rsidR="00A57797" w:rsidRPr="00A57797" w:rsidRDefault="00A57797" w:rsidP="00A57797">
            <w:pPr>
              <w:tabs>
                <w:tab w:val="left" w:pos="312"/>
              </w:tabs>
              <w:spacing w:after="0" w:line="240" w:lineRule="auto"/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</w:pPr>
          </w:p>
        </w:tc>
        <w:tc>
          <w:tcPr>
            <w:tcW w:w="240" w:type="dxa"/>
            <w:vMerge/>
            <w:tcBorders>
              <w:bottom w:val="nil"/>
            </w:tcBorders>
          </w:tcPr>
          <w:p w14:paraId="63D378A0" w14:textId="77777777" w:rsidR="00A57797" w:rsidRPr="00A57797" w:rsidRDefault="00A57797" w:rsidP="00A57797">
            <w:pPr>
              <w:spacing w:after="0" w:line="240" w:lineRule="auto"/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</w:pPr>
          </w:p>
        </w:tc>
        <w:tc>
          <w:tcPr>
            <w:tcW w:w="1629" w:type="dxa"/>
            <w:vMerge/>
          </w:tcPr>
          <w:p w14:paraId="42C780DF" w14:textId="77777777" w:rsidR="00A57797" w:rsidRPr="00A57797" w:rsidRDefault="00A57797" w:rsidP="00A57797">
            <w:pPr>
              <w:spacing w:after="0" w:line="240" w:lineRule="auto"/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</w:pPr>
          </w:p>
        </w:tc>
        <w:tc>
          <w:tcPr>
            <w:tcW w:w="253" w:type="dxa"/>
            <w:vMerge/>
          </w:tcPr>
          <w:p w14:paraId="7AA7B051" w14:textId="77777777" w:rsidR="00A57797" w:rsidRPr="00A57797" w:rsidRDefault="00A57797" w:rsidP="00A577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sz w:val="12"/>
                <w:szCs w:val="12"/>
              </w:rPr>
            </w:pPr>
          </w:p>
        </w:tc>
        <w:tc>
          <w:tcPr>
            <w:tcW w:w="254" w:type="dxa"/>
            <w:vMerge/>
          </w:tcPr>
          <w:p w14:paraId="0E24144E" w14:textId="77777777" w:rsidR="00A57797" w:rsidRPr="00A57797" w:rsidRDefault="00A57797" w:rsidP="00A577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sz w:val="12"/>
                <w:szCs w:val="12"/>
              </w:rPr>
            </w:pPr>
          </w:p>
        </w:tc>
        <w:tc>
          <w:tcPr>
            <w:tcW w:w="253" w:type="dxa"/>
            <w:vMerge/>
          </w:tcPr>
          <w:p w14:paraId="192BB800" w14:textId="77777777" w:rsidR="00A57797" w:rsidRPr="00A57797" w:rsidRDefault="00A57797" w:rsidP="00A577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sz w:val="12"/>
                <w:szCs w:val="12"/>
              </w:rPr>
            </w:pPr>
          </w:p>
        </w:tc>
        <w:tc>
          <w:tcPr>
            <w:tcW w:w="254" w:type="dxa"/>
            <w:vMerge/>
          </w:tcPr>
          <w:p w14:paraId="3D3E8C4D" w14:textId="77777777" w:rsidR="00A57797" w:rsidRPr="00A57797" w:rsidRDefault="00A57797" w:rsidP="00A577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sz w:val="12"/>
                <w:szCs w:val="12"/>
              </w:rPr>
            </w:pPr>
          </w:p>
        </w:tc>
        <w:tc>
          <w:tcPr>
            <w:tcW w:w="253" w:type="dxa"/>
            <w:vMerge/>
          </w:tcPr>
          <w:p w14:paraId="23993792" w14:textId="77777777" w:rsidR="00A57797" w:rsidRPr="00A57797" w:rsidRDefault="00A57797" w:rsidP="00A577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sz w:val="12"/>
                <w:szCs w:val="12"/>
              </w:rPr>
            </w:pPr>
          </w:p>
        </w:tc>
        <w:tc>
          <w:tcPr>
            <w:tcW w:w="254" w:type="dxa"/>
            <w:vMerge/>
          </w:tcPr>
          <w:p w14:paraId="47F5AE76" w14:textId="77777777" w:rsidR="00A57797" w:rsidRPr="00A57797" w:rsidRDefault="00A57797" w:rsidP="00A577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sz w:val="12"/>
                <w:szCs w:val="12"/>
              </w:rPr>
            </w:pPr>
          </w:p>
        </w:tc>
        <w:tc>
          <w:tcPr>
            <w:tcW w:w="253" w:type="dxa"/>
            <w:vMerge/>
          </w:tcPr>
          <w:p w14:paraId="3732B737" w14:textId="77777777" w:rsidR="00A57797" w:rsidRPr="00A57797" w:rsidRDefault="00A57797" w:rsidP="00A577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sz w:val="12"/>
                <w:szCs w:val="12"/>
              </w:rPr>
            </w:pPr>
          </w:p>
        </w:tc>
        <w:tc>
          <w:tcPr>
            <w:tcW w:w="254" w:type="dxa"/>
            <w:vMerge/>
          </w:tcPr>
          <w:p w14:paraId="2FAB845C" w14:textId="77777777" w:rsidR="00A57797" w:rsidRPr="00A57797" w:rsidRDefault="00A57797" w:rsidP="00A577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sz w:val="12"/>
                <w:szCs w:val="12"/>
              </w:rPr>
            </w:pPr>
          </w:p>
        </w:tc>
      </w:tr>
      <w:tr w:rsidR="00A57797" w:rsidRPr="00A57797" w14:paraId="4DAE00C7" w14:textId="77777777" w:rsidTr="001B242C">
        <w:trPr>
          <w:trHeight w:val="275"/>
        </w:trPr>
        <w:tc>
          <w:tcPr>
            <w:tcW w:w="67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8808DB" w14:textId="77777777" w:rsidR="00A57797" w:rsidRPr="00A57797" w:rsidRDefault="00A57797" w:rsidP="00A57797">
            <w:pPr>
              <w:tabs>
                <w:tab w:val="left" w:pos="312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  <w:t>Заполняется, если заявление подписывается по доверенности</w:t>
            </w:r>
          </w:p>
        </w:tc>
        <w:tc>
          <w:tcPr>
            <w:tcW w:w="240" w:type="dxa"/>
            <w:vMerge/>
            <w:tcBorders>
              <w:bottom w:val="nil"/>
            </w:tcBorders>
          </w:tcPr>
          <w:p w14:paraId="2DC8B292" w14:textId="77777777" w:rsidR="00A57797" w:rsidRPr="00A57797" w:rsidRDefault="00A57797" w:rsidP="00A57797">
            <w:pPr>
              <w:spacing w:after="0" w:line="240" w:lineRule="auto"/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</w:pPr>
          </w:p>
        </w:tc>
        <w:tc>
          <w:tcPr>
            <w:tcW w:w="1629" w:type="dxa"/>
            <w:vMerge/>
          </w:tcPr>
          <w:p w14:paraId="07774C01" w14:textId="77777777" w:rsidR="00A57797" w:rsidRPr="00A57797" w:rsidRDefault="00A57797" w:rsidP="00A57797">
            <w:pPr>
              <w:spacing w:after="0" w:line="240" w:lineRule="auto"/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</w:pPr>
          </w:p>
        </w:tc>
        <w:tc>
          <w:tcPr>
            <w:tcW w:w="253" w:type="dxa"/>
            <w:vMerge/>
          </w:tcPr>
          <w:p w14:paraId="06AB885A" w14:textId="77777777" w:rsidR="00A57797" w:rsidRPr="00A57797" w:rsidRDefault="00A57797" w:rsidP="00A577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sz w:val="12"/>
                <w:szCs w:val="12"/>
              </w:rPr>
            </w:pPr>
          </w:p>
        </w:tc>
        <w:tc>
          <w:tcPr>
            <w:tcW w:w="254" w:type="dxa"/>
            <w:vMerge/>
          </w:tcPr>
          <w:p w14:paraId="7D9A8AD5" w14:textId="77777777" w:rsidR="00A57797" w:rsidRPr="00A57797" w:rsidRDefault="00A57797" w:rsidP="00A577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sz w:val="12"/>
                <w:szCs w:val="12"/>
              </w:rPr>
            </w:pPr>
          </w:p>
        </w:tc>
        <w:tc>
          <w:tcPr>
            <w:tcW w:w="253" w:type="dxa"/>
            <w:vMerge/>
          </w:tcPr>
          <w:p w14:paraId="2CCCF8AD" w14:textId="77777777" w:rsidR="00A57797" w:rsidRPr="00A57797" w:rsidRDefault="00A57797" w:rsidP="00A577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sz w:val="12"/>
                <w:szCs w:val="12"/>
              </w:rPr>
            </w:pPr>
          </w:p>
        </w:tc>
        <w:tc>
          <w:tcPr>
            <w:tcW w:w="254" w:type="dxa"/>
            <w:vMerge/>
          </w:tcPr>
          <w:p w14:paraId="4E6CE2E2" w14:textId="77777777" w:rsidR="00A57797" w:rsidRPr="00A57797" w:rsidRDefault="00A57797" w:rsidP="00A577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sz w:val="12"/>
                <w:szCs w:val="12"/>
              </w:rPr>
            </w:pPr>
          </w:p>
        </w:tc>
        <w:tc>
          <w:tcPr>
            <w:tcW w:w="253" w:type="dxa"/>
            <w:vMerge/>
          </w:tcPr>
          <w:p w14:paraId="4248D05E" w14:textId="77777777" w:rsidR="00A57797" w:rsidRPr="00A57797" w:rsidRDefault="00A57797" w:rsidP="00A577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sz w:val="12"/>
                <w:szCs w:val="12"/>
              </w:rPr>
            </w:pPr>
          </w:p>
        </w:tc>
        <w:tc>
          <w:tcPr>
            <w:tcW w:w="254" w:type="dxa"/>
            <w:vMerge/>
          </w:tcPr>
          <w:p w14:paraId="7E6E7EEF" w14:textId="77777777" w:rsidR="00A57797" w:rsidRPr="00A57797" w:rsidRDefault="00A57797" w:rsidP="00A577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sz w:val="12"/>
                <w:szCs w:val="12"/>
              </w:rPr>
            </w:pPr>
          </w:p>
        </w:tc>
        <w:tc>
          <w:tcPr>
            <w:tcW w:w="253" w:type="dxa"/>
            <w:vMerge/>
          </w:tcPr>
          <w:p w14:paraId="7008A064" w14:textId="77777777" w:rsidR="00A57797" w:rsidRPr="00A57797" w:rsidRDefault="00A57797" w:rsidP="00A577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sz w:val="12"/>
                <w:szCs w:val="12"/>
              </w:rPr>
            </w:pPr>
          </w:p>
        </w:tc>
        <w:tc>
          <w:tcPr>
            <w:tcW w:w="254" w:type="dxa"/>
            <w:vMerge/>
          </w:tcPr>
          <w:p w14:paraId="15FE090D" w14:textId="77777777" w:rsidR="00A57797" w:rsidRPr="00A57797" w:rsidRDefault="00A57797" w:rsidP="00A577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sz w:val="12"/>
                <w:szCs w:val="12"/>
              </w:rPr>
            </w:pPr>
          </w:p>
        </w:tc>
      </w:tr>
      <w:tr w:rsidR="00A57797" w:rsidRPr="00A57797" w14:paraId="7EFFD944" w14:textId="77777777" w:rsidTr="001B242C">
        <w:trPr>
          <w:trHeight w:val="180"/>
        </w:trPr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60AFF5" w14:textId="77777777" w:rsidR="00A57797" w:rsidRPr="00A57797" w:rsidRDefault="00A57797" w:rsidP="00A57797">
            <w:pPr>
              <w:tabs>
                <w:tab w:val="left" w:pos="312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  <w:t>№ доверенности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34AFF6E" w14:textId="77777777" w:rsidR="00A57797" w:rsidRPr="00A57797" w:rsidRDefault="00A57797" w:rsidP="00A57797">
            <w:pPr>
              <w:tabs>
                <w:tab w:val="left" w:pos="312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F35E5FF" w14:textId="77777777" w:rsidR="00A57797" w:rsidRPr="00A57797" w:rsidRDefault="00A57797" w:rsidP="00A57797">
            <w:pPr>
              <w:tabs>
                <w:tab w:val="left" w:pos="312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  <w:t>Дата выдачи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1C5229B" w14:textId="77777777" w:rsidR="00A57797" w:rsidRPr="00A57797" w:rsidRDefault="00A57797" w:rsidP="00A57797">
            <w:pPr>
              <w:tabs>
                <w:tab w:val="left" w:pos="312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</w:pPr>
          </w:p>
        </w:tc>
        <w:tc>
          <w:tcPr>
            <w:tcW w:w="240" w:type="dxa"/>
            <w:vMerge/>
            <w:tcBorders>
              <w:bottom w:val="nil"/>
            </w:tcBorders>
          </w:tcPr>
          <w:p w14:paraId="42CD6C46" w14:textId="77777777" w:rsidR="00A57797" w:rsidRPr="00A57797" w:rsidRDefault="00A57797" w:rsidP="00A57797">
            <w:pPr>
              <w:spacing w:after="0" w:line="240" w:lineRule="auto"/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</w:pPr>
          </w:p>
        </w:tc>
        <w:tc>
          <w:tcPr>
            <w:tcW w:w="1629" w:type="dxa"/>
            <w:vMerge/>
          </w:tcPr>
          <w:p w14:paraId="5DBF9CB5" w14:textId="77777777" w:rsidR="00A57797" w:rsidRPr="00A57797" w:rsidRDefault="00A57797" w:rsidP="00A57797">
            <w:pPr>
              <w:spacing w:after="0" w:line="240" w:lineRule="auto"/>
              <w:ind w:left="-39" w:right="-30"/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</w:pPr>
          </w:p>
        </w:tc>
        <w:tc>
          <w:tcPr>
            <w:tcW w:w="253" w:type="dxa"/>
            <w:vMerge/>
          </w:tcPr>
          <w:p w14:paraId="1AEBBF72" w14:textId="77777777" w:rsidR="00A57797" w:rsidRPr="00A57797" w:rsidRDefault="00A57797" w:rsidP="00A577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sz w:val="12"/>
                <w:szCs w:val="12"/>
              </w:rPr>
            </w:pPr>
          </w:p>
        </w:tc>
        <w:tc>
          <w:tcPr>
            <w:tcW w:w="254" w:type="dxa"/>
            <w:vMerge/>
          </w:tcPr>
          <w:p w14:paraId="611C3D45" w14:textId="77777777" w:rsidR="00A57797" w:rsidRPr="00A57797" w:rsidRDefault="00A57797" w:rsidP="00A577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sz w:val="12"/>
                <w:szCs w:val="12"/>
              </w:rPr>
            </w:pPr>
          </w:p>
        </w:tc>
        <w:tc>
          <w:tcPr>
            <w:tcW w:w="253" w:type="dxa"/>
            <w:vMerge/>
          </w:tcPr>
          <w:p w14:paraId="13677D80" w14:textId="77777777" w:rsidR="00A57797" w:rsidRPr="00A57797" w:rsidRDefault="00A57797" w:rsidP="00A577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sz w:val="12"/>
                <w:szCs w:val="12"/>
              </w:rPr>
            </w:pPr>
          </w:p>
        </w:tc>
        <w:tc>
          <w:tcPr>
            <w:tcW w:w="254" w:type="dxa"/>
            <w:vMerge/>
          </w:tcPr>
          <w:p w14:paraId="04464D87" w14:textId="77777777" w:rsidR="00A57797" w:rsidRPr="00A57797" w:rsidRDefault="00A57797" w:rsidP="00A577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sz w:val="12"/>
                <w:szCs w:val="12"/>
              </w:rPr>
            </w:pPr>
          </w:p>
        </w:tc>
        <w:tc>
          <w:tcPr>
            <w:tcW w:w="253" w:type="dxa"/>
            <w:vMerge/>
          </w:tcPr>
          <w:p w14:paraId="1818E619" w14:textId="77777777" w:rsidR="00A57797" w:rsidRPr="00A57797" w:rsidRDefault="00A57797" w:rsidP="00A577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sz w:val="12"/>
                <w:szCs w:val="12"/>
              </w:rPr>
            </w:pPr>
          </w:p>
        </w:tc>
        <w:tc>
          <w:tcPr>
            <w:tcW w:w="254" w:type="dxa"/>
            <w:vMerge/>
          </w:tcPr>
          <w:p w14:paraId="0E400D73" w14:textId="77777777" w:rsidR="00A57797" w:rsidRPr="00A57797" w:rsidRDefault="00A57797" w:rsidP="00A577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sz w:val="12"/>
                <w:szCs w:val="12"/>
              </w:rPr>
            </w:pPr>
          </w:p>
        </w:tc>
        <w:tc>
          <w:tcPr>
            <w:tcW w:w="253" w:type="dxa"/>
            <w:vMerge/>
          </w:tcPr>
          <w:p w14:paraId="4A50A960" w14:textId="77777777" w:rsidR="00A57797" w:rsidRPr="00A57797" w:rsidRDefault="00A57797" w:rsidP="00A577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sz w:val="12"/>
                <w:szCs w:val="12"/>
              </w:rPr>
            </w:pPr>
          </w:p>
        </w:tc>
        <w:tc>
          <w:tcPr>
            <w:tcW w:w="254" w:type="dxa"/>
            <w:vMerge/>
          </w:tcPr>
          <w:p w14:paraId="137EB559" w14:textId="77777777" w:rsidR="00A57797" w:rsidRPr="00A57797" w:rsidRDefault="00A57797" w:rsidP="00A577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sz w:val="12"/>
                <w:szCs w:val="12"/>
              </w:rPr>
            </w:pPr>
          </w:p>
        </w:tc>
      </w:tr>
      <w:tr w:rsidR="00A57797" w:rsidRPr="00A57797" w14:paraId="7ECB403F" w14:textId="77777777" w:rsidTr="001B242C">
        <w:trPr>
          <w:trHeight w:val="417"/>
        </w:trPr>
        <w:tc>
          <w:tcPr>
            <w:tcW w:w="671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3EFFE9" w14:textId="77777777" w:rsidR="00A57797" w:rsidRPr="00A57797" w:rsidRDefault="00A57797" w:rsidP="00A57797">
            <w:pPr>
              <w:tabs>
                <w:tab w:val="left" w:pos="312"/>
              </w:tabs>
              <w:spacing w:after="0" w:line="240" w:lineRule="auto"/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</w:pPr>
          </w:p>
          <w:p w14:paraId="63EC715F" w14:textId="77777777" w:rsidR="00A57797" w:rsidRPr="00A57797" w:rsidRDefault="00A57797" w:rsidP="00A57797">
            <w:pPr>
              <w:tabs>
                <w:tab w:val="left" w:pos="312"/>
              </w:tabs>
              <w:spacing w:after="0" w:line="240" w:lineRule="auto"/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</w:pPr>
          </w:p>
          <w:p w14:paraId="00C640A7" w14:textId="77777777" w:rsidR="00A57797" w:rsidRPr="00A57797" w:rsidRDefault="00A57797" w:rsidP="00A57797">
            <w:pPr>
              <w:tabs>
                <w:tab w:val="left" w:pos="312"/>
              </w:tabs>
              <w:spacing w:after="0" w:line="240" w:lineRule="auto"/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  <w:t>_____________________________</w:t>
            </w:r>
          </w:p>
          <w:p w14:paraId="50AAF2CD" w14:textId="77777777" w:rsidR="00A57797" w:rsidRPr="00A57797" w:rsidRDefault="00A57797" w:rsidP="00A57797">
            <w:pPr>
              <w:tabs>
                <w:tab w:val="left" w:pos="312"/>
                <w:tab w:val="left" w:pos="4428"/>
              </w:tabs>
              <w:spacing w:after="0" w:line="240" w:lineRule="auto"/>
              <w:ind w:firstLine="885"/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  <w:t>подпись</w:t>
            </w:r>
            <w:r w:rsidRPr="00A57797"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  <w:tab/>
              <w:t>МП</w:t>
            </w:r>
          </w:p>
        </w:tc>
        <w:tc>
          <w:tcPr>
            <w:tcW w:w="240" w:type="dxa"/>
            <w:vMerge/>
            <w:tcBorders>
              <w:left w:val="single" w:sz="4" w:space="0" w:color="auto"/>
              <w:bottom w:val="nil"/>
            </w:tcBorders>
          </w:tcPr>
          <w:p w14:paraId="49317BCA" w14:textId="77777777" w:rsidR="00A57797" w:rsidRPr="00A57797" w:rsidRDefault="00A57797" w:rsidP="00A57797">
            <w:pPr>
              <w:spacing w:after="0" w:line="240" w:lineRule="auto"/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</w:pPr>
          </w:p>
        </w:tc>
        <w:tc>
          <w:tcPr>
            <w:tcW w:w="1629" w:type="dxa"/>
            <w:vMerge/>
          </w:tcPr>
          <w:p w14:paraId="0A66C71B" w14:textId="77777777" w:rsidR="00A57797" w:rsidRPr="00A57797" w:rsidRDefault="00A57797" w:rsidP="00A57797">
            <w:pPr>
              <w:spacing w:after="0" w:line="240" w:lineRule="auto"/>
              <w:ind w:left="-39" w:right="-30"/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</w:pPr>
          </w:p>
        </w:tc>
        <w:tc>
          <w:tcPr>
            <w:tcW w:w="253" w:type="dxa"/>
            <w:vMerge/>
          </w:tcPr>
          <w:p w14:paraId="23F11EAB" w14:textId="77777777" w:rsidR="00A57797" w:rsidRPr="00A57797" w:rsidRDefault="00A57797" w:rsidP="00A577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sz w:val="12"/>
                <w:szCs w:val="12"/>
              </w:rPr>
            </w:pPr>
          </w:p>
        </w:tc>
        <w:tc>
          <w:tcPr>
            <w:tcW w:w="254" w:type="dxa"/>
            <w:vMerge/>
          </w:tcPr>
          <w:p w14:paraId="74324103" w14:textId="77777777" w:rsidR="00A57797" w:rsidRPr="00A57797" w:rsidRDefault="00A57797" w:rsidP="00A577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sz w:val="12"/>
                <w:szCs w:val="12"/>
              </w:rPr>
            </w:pPr>
          </w:p>
        </w:tc>
        <w:tc>
          <w:tcPr>
            <w:tcW w:w="253" w:type="dxa"/>
            <w:vMerge/>
          </w:tcPr>
          <w:p w14:paraId="46F50773" w14:textId="77777777" w:rsidR="00A57797" w:rsidRPr="00A57797" w:rsidRDefault="00A57797" w:rsidP="00A577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sz w:val="12"/>
                <w:szCs w:val="12"/>
              </w:rPr>
            </w:pPr>
          </w:p>
        </w:tc>
        <w:tc>
          <w:tcPr>
            <w:tcW w:w="254" w:type="dxa"/>
            <w:vMerge/>
          </w:tcPr>
          <w:p w14:paraId="412BAE41" w14:textId="77777777" w:rsidR="00A57797" w:rsidRPr="00A57797" w:rsidRDefault="00A57797" w:rsidP="00A577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sz w:val="12"/>
                <w:szCs w:val="12"/>
              </w:rPr>
            </w:pPr>
          </w:p>
        </w:tc>
        <w:tc>
          <w:tcPr>
            <w:tcW w:w="253" w:type="dxa"/>
            <w:vMerge/>
          </w:tcPr>
          <w:p w14:paraId="43C8C788" w14:textId="77777777" w:rsidR="00A57797" w:rsidRPr="00A57797" w:rsidRDefault="00A57797" w:rsidP="00A577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sz w:val="12"/>
                <w:szCs w:val="12"/>
              </w:rPr>
            </w:pPr>
          </w:p>
        </w:tc>
        <w:tc>
          <w:tcPr>
            <w:tcW w:w="254" w:type="dxa"/>
            <w:vMerge/>
          </w:tcPr>
          <w:p w14:paraId="089B9708" w14:textId="77777777" w:rsidR="00A57797" w:rsidRPr="00A57797" w:rsidRDefault="00A57797" w:rsidP="00A577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sz w:val="12"/>
                <w:szCs w:val="12"/>
              </w:rPr>
            </w:pPr>
          </w:p>
        </w:tc>
        <w:tc>
          <w:tcPr>
            <w:tcW w:w="253" w:type="dxa"/>
            <w:vMerge/>
          </w:tcPr>
          <w:p w14:paraId="53FDD397" w14:textId="77777777" w:rsidR="00A57797" w:rsidRPr="00A57797" w:rsidRDefault="00A57797" w:rsidP="00A577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sz w:val="12"/>
                <w:szCs w:val="12"/>
              </w:rPr>
            </w:pPr>
          </w:p>
        </w:tc>
        <w:tc>
          <w:tcPr>
            <w:tcW w:w="254" w:type="dxa"/>
            <w:vMerge/>
          </w:tcPr>
          <w:p w14:paraId="4BAB1ED9" w14:textId="77777777" w:rsidR="00A57797" w:rsidRPr="00A57797" w:rsidRDefault="00A57797" w:rsidP="00A577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sz w:val="12"/>
                <w:szCs w:val="12"/>
              </w:rPr>
            </w:pPr>
          </w:p>
        </w:tc>
      </w:tr>
      <w:tr w:rsidR="00A57797" w:rsidRPr="00A57797" w14:paraId="1BAD0B4D" w14:textId="77777777" w:rsidTr="001B242C">
        <w:trPr>
          <w:trHeight w:val="286"/>
        </w:trPr>
        <w:tc>
          <w:tcPr>
            <w:tcW w:w="335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CB3C9" w14:textId="77777777" w:rsidR="00A57797" w:rsidRPr="00A57797" w:rsidRDefault="00A57797" w:rsidP="00A57797">
            <w:pPr>
              <w:tabs>
                <w:tab w:val="left" w:pos="312"/>
              </w:tabs>
              <w:spacing w:after="0" w:line="240" w:lineRule="auto"/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</w:pPr>
            <w:r w:rsidRPr="00A57797"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  <w:t>Дата заявления</w:t>
            </w:r>
          </w:p>
        </w:tc>
        <w:tc>
          <w:tcPr>
            <w:tcW w:w="33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A0C73" w14:textId="77777777" w:rsidR="00A57797" w:rsidRPr="00A57797" w:rsidRDefault="00A57797" w:rsidP="00A57797">
            <w:pPr>
              <w:tabs>
                <w:tab w:val="left" w:pos="312"/>
                <w:tab w:val="left" w:pos="4428"/>
              </w:tabs>
              <w:spacing w:after="0" w:line="240" w:lineRule="auto"/>
              <w:ind w:firstLine="885"/>
              <w:rPr>
                <w:rFonts w:ascii="Calibri" w:eastAsia="Times New Roman" w:hAnsi="Calibri" w:cs="Calibri"/>
                <w:sz w:val="12"/>
                <w:szCs w:val="12"/>
                <w:lang w:eastAsia="ru-RU"/>
              </w:rPr>
            </w:pPr>
          </w:p>
        </w:tc>
        <w:tc>
          <w:tcPr>
            <w:tcW w:w="240" w:type="dxa"/>
            <w:vMerge/>
            <w:tcBorders>
              <w:left w:val="single" w:sz="4" w:space="0" w:color="auto"/>
              <w:bottom w:val="nil"/>
            </w:tcBorders>
          </w:tcPr>
          <w:p w14:paraId="04FC56DF" w14:textId="77777777" w:rsidR="00A57797" w:rsidRPr="00A57797" w:rsidRDefault="00A57797" w:rsidP="00A57797">
            <w:pPr>
              <w:spacing w:after="0" w:line="240" w:lineRule="auto"/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</w:pPr>
          </w:p>
        </w:tc>
        <w:tc>
          <w:tcPr>
            <w:tcW w:w="1629" w:type="dxa"/>
          </w:tcPr>
          <w:p w14:paraId="5F9D5A3D" w14:textId="77777777" w:rsidR="00A57797" w:rsidRPr="00A57797" w:rsidRDefault="00A57797" w:rsidP="00A57797">
            <w:pPr>
              <w:spacing w:after="0" w:line="240" w:lineRule="auto"/>
              <w:rPr>
                <w:rFonts w:ascii="Calibri" w:eastAsia="Times New Roman" w:hAnsi="Calibri" w:cs="Calibri"/>
                <w:b/>
                <w:sz w:val="12"/>
                <w:szCs w:val="12"/>
                <w:lang w:val="en-US" w:eastAsia="ru-RU"/>
              </w:rPr>
            </w:pPr>
            <w:r w:rsidRPr="00A57797"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  <w:t>Дата заключения договоров</w:t>
            </w:r>
          </w:p>
        </w:tc>
        <w:tc>
          <w:tcPr>
            <w:tcW w:w="2028" w:type="dxa"/>
            <w:gridSpan w:val="8"/>
          </w:tcPr>
          <w:p w14:paraId="329BBCF7" w14:textId="77777777" w:rsidR="00A57797" w:rsidRPr="00A57797" w:rsidRDefault="00A57797" w:rsidP="00A57797">
            <w:pPr>
              <w:spacing w:after="0" w:line="240" w:lineRule="auto"/>
              <w:rPr>
                <w:rFonts w:ascii="Calibri" w:eastAsia="Times New Roman" w:hAnsi="Calibri" w:cs="Calibri"/>
                <w:b/>
                <w:sz w:val="12"/>
                <w:szCs w:val="12"/>
                <w:lang w:eastAsia="ru-RU"/>
              </w:rPr>
            </w:pPr>
          </w:p>
        </w:tc>
      </w:tr>
    </w:tbl>
    <w:p w14:paraId="58974BF5" w14:textId="77777777" w:rsidR="00A57797" w:rsidRPr="00A57797" w:rsidRDefault="00A57797" w:rsidP="00A57797">
      <w:pPr>
        <w:spacing w:after="0" w:line="240" w:lineRule="auto"/>
        <w:rPr>
          <w:rFonts w:ascii="Calibri" w:eastAsia="Times New Roman" w:hAnsi="Calibri" w:cs="Calibri"/>
          <w:sz w:val="4"/>
          <w:szCs w:val="4"/>
          <w:lang w:eastAsia="ru-RU"/>
        </w:rPr>
      </w:pPr>
    </w:p>
    <w:p w14:paraId="3F49DEAE" w14:textId="77777777" w:rsidR="00A57797" w:rsidRPr="00A57797" w:rsidRDefault="00A57797" w:rsidP="00A57797">
      <w:pPr>
        <w:spacing w:after="0" w:line="240" w:lineRule="auto"/>
        <w:rPr>
          <w:rFonts w:ascii="Calibri" w:eastAsia="Times New Roman" w:hAnsi="Calibri" w:cs="Calibri"/>
          <w:i/>
          <w:sz w:val="4"/>
          <w:szCs w:val="4"/>
          <w:lang w:eastAsia="ru-RU"/>
        </w:rPr>
      </w:pPr>
    </w:p>
    <w:p w14:paraId="520A8FA0" w14:textId="77777777" w:rsidR="00460E21" w:rsidRDefault="00460E21"/>
    <w:sectPr w:rsidR="00460E21" w:rsidSect="009C78D0">
      <w:pgSz w:w="11906" w:h="16838"/>
      <w:pgMar w:top="142" w:right="566" w:bottom="0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41B3"/>
    <w:multiLevelType w:val="hybridMultilevel"/>
    <w:tmpl w:val="D74C35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215DCD"/>
    <w:multiLevelType w:val="hybridMultilevel"/>
    <w:tmpl w:val="765404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67393496">
    <w:abstractNumId w:val="1"/>
  </w:num>
  <w:num w:numId="2" w16cid:durableId="9571055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797"/>
    <w:rsid w:val="00460E21"/>
    <w:rsid w:val="00A57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;"/>
  <w14:docId w14:val="582607DB"/>
  <w15:chartTrackingRefBased/>
  <w15:docId w15:val="{F62C9CC6-BF61-42B2-9E85-B8DDB9C24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3508</Words>
  <Characters>20002</Characters>
  <DocSecurity>0</DocSecurity>
  <Lines>166</Lines>
  <Paragraphs>46</Paragraphs>
  <ScaleCrop>false</ScaleCrop>
  <Company/>
  <LinksUpToDate>false</LinksUpToDate>
  <CharactersWithSpaces>23464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2022-11-30T13:15:00Z</dcterms:created>
  <dcterms:modified xsi:type="dcterms:W3CDTF">2022-11-30T13:17:00Z</dcterms:modified>
</cp:coreProperties>
</file>